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4C268" w14:textId="77777777" w:rsidR="00426B6A" w:rsidRDefault="006121A3" w:rsidP="006121A3">
      <w:pPr>
        <w:jc w:val="center"/>
        <w:rPr>
          <w:b/>
        </w:rPr>
      </w:pPr>
      <w:r>
        <w:rPr>
          <w:b/>
        </w:rPr>
        <w:t>University Core Curriculum Committee</w:t>
      </w:r>
    </w:p>
    <w:p w14:paraId="48F2DEC1" w14:textId="77777777" w:rsidR="006121A3" w:rsidRDefault="006121A3" w:rsidP="006121A3">
      <w:pPr>
        <w:jc w:val="center"/>
      </w:pPr>
      <w:r>
        <w:rPr>
          <w:b/>
        </w:rPr>
        <w:t>Annual Report 2016–2017</w:t>
      </w:r>
    </w:p>
    <w:p w14:paraId="28587D30" w14:textId="77777777" w:rsidR="006121A3" w:rsidRDefault="006121A3" w:rsidP="006121A3">
      <w:pPr>
        <w:jc w:val="center"/>
      </w:pPr>
    </w:p>
    <w:p w14:paraId="65C76391" w14:textId="77777777" w:rsidR="006121A3" w:rsidRDefault="0042784E" w:rsidP="006121A3">
      <w:pPr>
        <w:pStyle w:val="Heading1"/>
      </w:pPr>
      <w:r>
        <w:t xml:space="preserve">Charge </w:t>
      </w:r>
      <w:r w:rsidR="006121A3">
        <w:t>to the UCCC</w:t>
      </w:r>
    </w:p>
    <w:p w14:paraId="2D43964E" w14:textId="77777777" w:rsidR="0042784E" w:rsidRDefault="00B42AEC" w:rsidP="0042784E">
      <w:pPr>
        <w:ind w:left="720"/>
      </w:pPr>
      <w:r>
        <w:t>The</w:t>
      </w:r>
      <w:r w:rsidR="0042784E">
        <w:t xml:space="preserve"> committee is charged with:</w:t>
      </w:r>
    </w:p>
    <w:p w14:paraId="14EA0601" w14:textId="77777777" w:rsidR="0042784E" w:rsidRPr="0042784E" w:rsidRDefault="0042784E" w:rsidP="0042784E">
      <w:pPr>
        <w:numPr>
          <w:ilvl w:val="0"/>
          <w:numId w:val="2"/>
        </w:numPr>
        <w:shd w:val="clear" w:color="auto" w:fill="FFFFFF"/>
        <w:spacing w:line="300" w:lineRule="atLeast"/>
        <w:ind w:left="1080"/>
        <w:textAlignment w:val="baseline"/>
        <w:rPr>
          <w:rFonts w:eastAsia="Times New Roman" w:cs="Times New Roman"/>
          <w:color w:val="333333"/>
        </w:rPr>
      </w:pPr>
      <w:r w:rsidRPr="0042784E">
        <w:rPr>
          <w:rFonts w:eastAsia="Times New Roman" w:cs="Times New Roman"/>
          <w:color w:val="333333"/>
        </w:rPr>
        <w:t>Overseeing the c</w:t>
      </w:r>
      <w:bookmarkStart w:id="0" w:name="_GoBack"/>
      <w:bookmarkEnd w:id="0"/>
      <w:r w:rsidRPr="0042784E">
        <w:rPr>
          <w:rFonts w:eastAsia="Times New Roman" w:cs="Times New Roman"/>
          <w:color w:val="333333"/>
        </w:rPr>
        <w:t>omposition of the core curriculum;</w:t>
      </w:r>
    </w:p>
    <w:p w14:paraId="70F51BC4" w14:textId="77777777" w:rsidR="0042784E" w:rsidRPr="0042784E" w:rsidRDefault="0042784E" w:rsidP="0042784E">
      <w:pPr>
        <w:numPr>
          <w:ilvl w:val="0"/>
          <w:numId w:val="3"/>
        </w:numPr>
        <w:shd w:val="clear" w:color="auto" w:fill="FFFFFF"/>
        <w:spacing w:line="300" w:lineRule="atLeast"/>
        <w:ind w:left="1080"/>
        <w:textAlignment w:val="baseline"/>
        <w:rPr>
          <w:rFonts w:eastAsia="Times New Roman" w:cs="Times New Roman"/>
          <w:color w:val="333333"/>
        </w:rPr>
      </w:pPr>
      <w:r w:rsidRPr="0042784E">
        <w:rPr>
          <w:rFonts w:eastAsia="Times New Roman" w:cs="Times New Roman"/>
          <w:color w:val="333333"/>
        </w:rPr>
        <w:t>Certifying (and re-certifying) courses and experiential learning activities nominated for inclusion as part of the KU Core;</w:t>
      </w:r>
    </w:p>
    <w:p w14:paraId="06373261" w14:textId="77777777" w:rsidR="0042784E" w:rsidRPr="0042784E" w:rsidRDefault="0042784E" w:rsidP="0042784E">
      <w:pPr>
        <w:numPr>
          <w:ilvl w:val="0"/>
          <w:numId w:val="4"/>
        </w:numPr>
        <w:shd w:val="clear" w:color="auto" w:fill="FFFFFF"/>
        <w:spacing w:line="300" w:lineRule="atLeast"/>
        <w:ind w:left="1080"/>
        <w:textAlignment w:val="baseline"/>
        <w:rPr>
          <w:rFonts w:eastAsia="Times New Roman" w:cs="Times New Roman"/>
          <w:color w:val="333333"/>
        </w:rPr>
      </w:pPr>
      <w:r w:rsidRPr="0042784E">
        <w:rPr>
          <w:rFonts w:eastAsia="Times New Roman" w:cs="Times New Roman"/>
          <w:color w:val="333333"/>
        </w:rPr>
        <w:t>Monitoring the achievement of learning outcomes through these courses and activities; and</w:t>
      </w:r>
    </w:p>
    <w:p w14:paraId="0E94769A" w14:textId="77777777" w:rsidR="0042784E" w:rsidRPr="0042784E" w:rsidRDefault="0042784E" w:rsidP="0042784E">
      <w:pPr>
        <w:numPr>
          <w:ilvl w:val="0"/>
          <w:numId w:val="5"/>
        </w:numPr>
        <w:shd w:val="clear" w:color="auto" w:fill="FFFFFF"/>
        <w:spacing w:line="300" w:lineRule="atLeast"/>
        <w:ind w:left="1080"/>
        <w:textAlignment w:val="baseline"/>
        <w:rPr>
          <w:rFonts w:eastAsia="Times New Roman" w:cs="Times New Roman"/>
          <w:color w:val="333333"/>
        </w:rPr>
      </w:pPr>
      <w:r w:rsidRPr="0042784E">
        <w:rPr>
          <w:rFonts w:eastAsia="Times New Roman" w:cs="Times New Roman"/>
          <w:color w:val="333333"/>
        </w:rPr>
        <w:t>Reviewing and recommending proposals for certificate programs (e.g., GAP, REP, SLP);</w:t>
      </w:r>
    </w:p>
    <w:p w14:paraId="7096B0BC" w14:textId="77777777" w:rsidR="0042784E" w:rsidRDefault="0042784E" w:rsidP="0042784E">
      <w:pPr>
        <w:numPr>
          <w:ilvl w:val="0"/>
          <w:numId w:val="6"/>
        </w:numPr>
        <w:shd w:val="clear" w:color="auto" w:fill="FFFFFF"/>
        <w:spacing w:line="300" w:lineRule="atLeast"/>
        <w:ind w:left="1080"/>
        <w:textAlignment w:val="baseline"/>
        <w:rPr>
          <w:rFonts w:eastAsia="Times New Roman" w:cs="Times New Roman"/>
          <w:color w:val="333333"/>
        </w:rPr>
      </w:pPr>
      <w:r w:rsidRPr="0042784E">
        <w:rPr>
          <w:rFonts w:eastAsia="Times New Roman" w:cs="Times New Roman"/>
          <w:color w:val="333333"/>
        </w:rPr>
        <w:t>Envisioning innovative ways to meet learning outcomes.</w:t>
      </w:r>
    </w:p>
    <w:p w14:paraId="6006FE60" w14:textId="77777777" w:rsidR="0042784E" w:rsidRDefault="0042784E" w:rsidP="006121A3">
      <w:pPr>
        <w:pStyle w:val="Heading1"/>
      </w:pPr>
      <w:r>
        <w:t>Representation</w:t>
      </w:r>
    </w:p>
    <w:p w14:paraId="0759A03D" w14:textId="77777777" w:rsidR="0042784E" w:rsidRDefault="0042784E" w:rsidP="0042784E">
      <w:pPr>
        <w:ind w:left="720"/>
      </w:pPr>
      <w:r>
        <w:t xml:space="preserve">The committee includes one voting representative from each of the five divisions of the College of Liberal Arts and Sciences and one from each of the professional schools with undergraduate programs. The </w:t>
      </w:r>
      <w:r w:rsidR="00617E7A">
        <w:t xml:space="preserve">faculty </w:t>
      </w:r>
      <w:r>
        <w:t>representatives on the 2016–2017 committee included:</w:t>
      </w:r>
    </w:p>
    <w:p w14:paraId="14650533" w14:textId="77777777" w:rsidR="0042784E" w:rsidRDefault="0042784E" w:rsidP="0042784E">
      <w:pPr>
        <w:ind w:left="720"/>
      </w:pPr>
    </w:p>
    <w:tbl>
      <w:tblPr>
        <w:tblStyle w:val="TableGrid"/>
        <w:tblW w:w="0" w:type="auto"/>
        <w:tblInd w:w="720" w:type="dxa"/>
        <w:tblLook w:val="04A0" w:firstRow="1" w:lastRow="0" w:firstColumn="1" w:lastColumn="0" w:noHBand="0" w:noVBand="1"/>
      </w:tblPr>
      <w:tblGrid>
        <w:gridCol w:w="2965"/>
        <w:gridCol w:w="3020"/>
        <w:gridCol w:w="2871"/>
      </w:tblGrid>
      <w:tr w:rsidR="0042784E" w14:paraId="23FD6C91" w14:textId="77777777" w:rsidTr="00617E7A">
        <w:tc>
          <w:tcPr>
            <w:tcW w:w="2965" w:type="dxa"/>
            <w:tcBorders>
              <w:top w:val="nil"/>
              <w:left w:val="nil"/>
              <w:bottom w:val="single" w:sz="8" w:space="0" w:color="auto"/>
              <w:right w:val="nil"/>
            </w:tcBorders>
          </w:tcPr>
          <w:p w14:paraId="0285427C" w14:textId="77777777" w:rsidR="0042784E" w:rsidRDefault="0042784E" w:rsidP="0042784E">
            <w:r>
              <w:t>Name</w:t>
            </w:r>
          </w:p>
        </w:tc>
        <w:tc>
          <w:tcPr>
            <w:tcW w:w="3020" w:type="dxa"/>
            <w:tcBorders>
              <w:top w:val="nil"/>
              <w:left w:val="nil"/>
              <w:bottom w:val="single" w:sz="8" w:space="0" w:color="auto"/>
              <w:right w:val="nil"/>
            </w:tcBorders>
          </w:tcPr>
          <w:p w14:paraId="4D543110" w14:textId="77777777" w:rsidR="0042784E" w:rsidRDefault="0042784E" w:rsidP="0042784E">
            <w:r>
              <w:t>Representing</w:t>
            </w:r>
          </w:p>
        </w:tc>
        <w:tc>
          <w:tcPr>
            <w:tcW w:w="2871" w:type="dxa"/>
            <w:tcBorders>
              <w:top w:val="nil"/>
              <w:left w:val="nil"/>
              <w:bottom w:val="single" w:sz="8" w:space="0" w:color="auto"/>
              <w:right w:val="nil"/>
            </w:tcBorders>
          </w:tcPr>
          <w:p w14:paraId="31EB1E7D" w14:textId="77777777" w:rsidR="0042784E" w:rsidRDefault="0042784E" w:rsidP="0042784E">
            <w:r>
              <w:t>Term</w:t>
            </w:r>
          </w:p>
        </w:tc>
      </w:tr>
      <w:tr w:rsidR="0042784E" w14:paraId="73B7C9A0" w14:textId="77777777" w:rsidTr="00617E7A">
        <w:tc>
          <w:tcPr>
            <w:tcW w:w="2965" w:type="dxa"/>
            <w:tcBorders>
              <w:top w:val="single" w:sz="8" w:space="0" w:color="auto"/>
            </w:tcBorders>
          </w:tcPr>
          <w:p w14:paraId="4C3AB145" w14:textId="77777777" w:rsidR="0042784E" w:rsidRDefault="0042784E" w:rsidP="0042784E">
            <w:r>
              <w:t>Anton Rosenthal</w:t>
            </w:r>
          </w:p>
        </w:tc>
        <w:tc>
          <w:tcPr>
            <w:tcW w:w="3020" w:type="dxa"/>
            <w:tcBorders>
              <w:top w:val="single" w:sz="8" w:space="0" w:color="auto"/>
            </w:tcBorders>
          </w:tcPr>
          <w:p w14:paraId="02AF7F8F" w14:textId="77777777" w:rsidR="0042784E" w:rsidRDefault="0042784E" w:rsidP="0042784E">
            <w:r>
              <w:t>CLAS—Humanities Division</w:t>
            </w:r>
          </w:p>
        </w:tc>
        <w:tc>
          <w:tcPr>
            <w:tcW w:w="2871" w:type="dxa"/>
            <w:tcBorders>
              <w:top w:val="single" w:sz="8" w:space="0" w:color="auto"/>
            </w:tcBorders>
          </w:tcPr>
          <w:p w14:paraId="21BD3C1C" w14:textId="77777777" w:rsidR="0042784E" w:rsidRDefault="0042784E" w:rsidP="0042784E">
            <w:r>
              <w:t>2015–2018</w:t>
            </w:r>
          </w:p>
        </w:tc>
      </w:tr>
      <w:tr w:rsidR="0042784E" w14:paraId="4560CF63" w14:textId="77777777" w:rsidTr="00617E7A">
        <w:tc>
          <w:tcPr>
            <w:tcW w:w="2965" w:type="dxa"/>
          </w:tcPr>
          <w:p w14:paraId="6CBEEC98" w14:textId="77777777" w:rsidR="0042784E" w:rsidRDefault="0042784E" w:rsidP="0042784E">
            <w:r>
              <w:t>Svetlana Vassileva-Karagyozova (Fall)</w:t>
            </w:r>
            <w:r>
              <w:br/>
              <w:t>Elizabeth Esch (Spring)</w:t>
            </w:r>
          </w:p>
        </w:tc>
        <w:tc>
          <w:tcPr>
            <w:tcW w:w="3020" w:type="dxa"/>
          </w:tcPr>
          <w:p w14:paraId="73876B97" w14:textId="77777777" w:rsidR="0042784E" w:rsidRDefault="0042784E" w:rsidP="0042784E">
            <w:r>
              <w:t>CLAS—International &amp; Interdisciplinary Division</w:t>
            </w:r>
          </w:p>
        </w:tc>
        <w:tc>
          <w:tcPr>
            <w:tcW w:w="2871" w:type="dxa"/>
          </w:tcPr>
          <w:p w14:paraId="2D37811C" w14:textId="77777777" w:rsidR="0042784E" w:rsidRDefault="0042784E" w:rsidP="0042784E">
            <w:r>
              <w:t>2014–2017</w:t>
            </w:r>
          </w:p>
        </w:tc>
      </w:tr>
      <w:tr w:rsidR="0042784E" w14:paraId="5133071A" w14:textId="77777777" w:rsidTr="00617E7A">
        <w:tc>
          <w:tcPr>
            <w:tcW w:w="2965" w:type="dxa"/>
          </w:tcPr>
          <w:p w14:paraId="2E00D5FE" w14:textId="77777777" w:rsidR="0042784E" w:rsidRDefault="0042784E" w:rsidP="0042784E">
            <w:r>
              <w:t>Chris Fischer</w:t>
            </w:r>
          </w:p>
        </w:tc>
        <w:tc>
          <w:tcPr>
            <w:tcW w:w="3020" w:type="dxa"/>
          </w:tcPr>
          <w:p w14:paraId="711E409F" w14:textId="77777777" w:rsidR="0042784E" w:rsidRDefault="0042784E" w:rsidP="0042784E">
            <w:r>
              <w:t>CLAS—Natural Sciences &amp; Mathematics Division</w:t>
            </w:r>
          </w:p>
        </w:tc>
        <w:tc>
          <w:tcPr>
            <w:tcW w:w="2871" w:type="dxa"/>
          </w:tcPr>
          <w:p w14:paraId="30A1FB50" w14:textId="77777777" w:rsidR="0042784E" w:rsidRDefault="0042784E" w:rsidP="0042784E">
            <w:r>
              <w:t>2015–2018</w:t>
            </w:r>
          </w:p>
        </w:tc>
      </w:tr>
      <w:tr w:rsidR="0042784E" w14:paraId="34C98731" w14:textId="77777777" w:rsidTr="00617E7A">
        <w:tc>
          <w:tcPr>
            <w:tcW w:w="2965" w:type="dxa"/>
          </w:tcPr>
          <w:p w14:paraId="2DA43E86" w14:textId="77777777" w:rsidR="0042784E" w:rsidRDefault="0042784E" w:rsidP="0042784E">
            <w:r>
              <w:t>Tanya Hartman (Fall)</w:t>
            </w:r>
            <w:r>
              <w:br/>
              <w:t>Matthew Burke (Spring)</w:t>
            </w:r>
          </w:p>
        </w:tc>
        <w:tc>
          <w:tcPr>
            <w:tcW w:w="3020" w:type="dxa"/>
          </w:tcPr>
          <w:p w14:paraId="10FF5880" w14:textId="77777777" w:rsidR="0042784E" w:rsidRDefault="0042784E" w:rsidP="0042784E">
            <w:r>
              <w:t>CLAS—School of the Arts</w:t>
            </w:r>
          </w:p>
        </w:tc>
        <w:tc>
          <w:tcPr>
            <w:tcW w:w="2871" w:type="dxa"/>
          </w:tcPr>
          <w:p w14:paraId="2EF2D45C" w14:textId="77777777" w:rsidR="0042784E" w:rsidRDefault="0042784E" w:rsidP="0042784E">
            <w:r>
              <w:t>2016–2019</w:t>
            </w:r>
          </w:p>
        </w:tc>
      </w:tr>
      <w:tr w:rsidR="0042784E" w14:paraId="1839BF78" w14:textId="77777777" w:rsidTr="00617E7A">
        <w:tc>
          <w:tcPr>
            <w:tcW w:w="2965" w:type="dxa"/>
          </w:tcPr>
          <w:p w14:paraId="32543E5D" w14:textId="77777777" w:rsidR="0042784E" w:rsidRDefault="0042784E" w:rsidP="0042784E">
            <w:r>
              <w:t>Rachel Krause</w:t>
            </w:r>
          </w:p>
        </w:tc>
        <w:tc>
          <w:tcPr>
            <w:tcW w:w="3020" w:type="dxa"/>
          </w:tcPr>
          <w:p w14:paraId="64E94E46" w14:textId="77777777" w:rsidR="0042784E" w:rsidRDefault="0042784E" w:rsidP="0042784E">
            <w:r>
              <w:t>CLAS—Social &amp; Behavioral Sciences Division</w:t>
            </w:r>
          </w:p>
        </w:tc>
        <w:tc>
          <w:tcPr>
            <w:tcW w:w="2871" w:type="dxa"/>
          </w:tcPr>
          <w:p w14:paraId="656CC11F" w14:textId="77777777" w:rsidR="0042784E" w:rsidRDefault="0042784E" w:rsidP="0042784E">
            <w:r>
              <w:t>2016–2019</w:t>
            </w:r>
          </w:p>
        </w:tc>
      </w:tr>
      <w:tr w:rsidR="0042784E" w14:paraId="4DFB2BF6" w14:textId="77777777" w:rsidTr="00617E7A">
        <w:tc>
          <w:tcPr>
            <w:tcW w:w="2965" w:type="dxa"/>
          </w:tcPr>
          <w:p w14:paraId="3628D4A4" w14:textId="57726C79" w:rsidR="00826681" w:rsidRDefault="00EE7D29" w:rsidP="0042784E">
            <w:r>
              <w:t>Farhan Karim</w:t>
            </w:r>
            <w:r w:rsidR="00826681">
              <w:t xml:space="preserve"> (Fall)</w:t>
            </w:r>
          </w:p>
          <w:p w14:paraId="7A732612" w14:textId="5BB83014" w:rsidR="0042784E" w:rsidRDefault="0042784E" w:rsidP="0042784E">
            <w:r>
              <w:t>Hui Cai</w:t>
            </w:r>
            <w:r w:rsidR="00826681">
              <w:t xml:space="preserve"> (Spring)</w:t>
            </w:r>
          </w:p>
        </w:tc>
        <w:tc>
          <w:tcPr>
            <w:tcW w:w="3020" w:type="dxa"/>
          </w:tcPr>
          <w:p w14:paraId="2E888BAF" w14:textId="77777777" w:rsidR="0042784E" w:rsidRDefault="0042784E" w:rsidP="0042784E">
            <w:r>
              <w:t>School of Architecture, Design, &amp; Planning</w:t>
            </w:r>
          </w:p>
        </w:tc>
        <w:tc>
          <w:tcPr>
            <w:tcW w:w="2871" w:type="dxa"/>
          </w:tcPr>
          <w:p w14:paraId="476377E3" w14:textId="77777777" w:rsidR="0042784E" w:rsidRDefault="0042784E" w:rsidP="0042784E">
            <w:r>
              <w:t>2016–2019</w:t>
            </w:r>
          </w:p>
        </w:tc>
      </w:tr>
      <w:tr w:rsidR="0042784E" w14:paraId="64B3D441" w14:textId="77777777" w:rsidTr="00617E7A">
        <w:tc>
          <w:tcPr>
            <w:tcW w:w="2965" w:type="dxa"/>
          </w:tcPr>
          <w:p w14:paraId="37D256CE" w14:textId="77777777" w:rsidR="0042784E" w:rsidRDefault="0042784E" w:rsidP="0042784E">
            <w:r>
              <w:t>Christopher Anderson</w:t>
            </w:r>
          </w:p>
        </w:tc>
        <w:tc>
          <w:tcPr>
            <w:tcW w:w="3020" w:type="dxa"/>
          </w:tcPr>
          <w:p w14:paraId="1B58FFE5" w14:textId="77777777" w:rsidR="0042784E" w:rsidRDefault="0042784E" w:rsidP="0042784E">
            <w:r>
              <w:t>School of Business</w:t>
            </w:r>
          </w:p>
        </w:tc>
        <w:tc>
          <w:tcPr>
            <w:tcW w:w="2871" w:type="dxa"/>
          </w:tcPr>
          <w:p w14:paraId="405DAC9D" w14:textId="77777777" w:rsidR="0042784E" w:rsidRDefault="0042784E" w:rsidP="0042784E">
            <w:r>
              <w:t>2014–2017</w:t>
            </w:r>
          </w:p>
        </w:tc>
      </w:tr>
      <w:tr w:rsidR="0042784E" w14:paraId="46C90223" w14:textId="77777777" w:rsidTr="00826681">
        <w:trPr>
          <w:trHeight w:val="584"/>
        </w:trPr>
        <w:tc>
          <w:tcPr>
            <w:tcW w:w="2965" w:type="dxa"/>
          </w:tcPr>
          <w:p w14:paraId="61E2BDEB" w14:textId="19895D4F" w:rsidR="0042784E" w:rsidRDefault="00826681" w:rsidP="0042784E">
            <w:r>
              <w:t>Barbara Phip</w:t>
            </w:r>
            <w:r w:rsidR="0042784E">
              <w:t>ps (for Lizette Peter)</w:t>
            </w:r>
          </w:p>
        </w:tc>
        <w:tc>
          <w:tcPr>
            <w:tcW w:w="3020" w:type="dxa"/>
          </w:tcPr>
          <w:p w14:paraId="529CC752" w14:textId="77777777" w:rsidR="0042784E" w:rsidRDefault="0042784E" w:rsidP="0042784E">
            <w:r>
              <w:t>School of Education</w:t>
            </w:r>
          </w:p>
        </w:tc>
        <w:tc>
          <w:tcPr>
            <w:tcW w:w="2871" w:type="dxa"/>
          </w:tcPr>
          <w:p w14:paraId="639784A8" w14:textId="77777777" w:rsidR="0042784E" w:rsidRDefault="0042784E" w:rsidP="0042784E">
            <w:r>
              <w:t>2014–2017</w:t>
            </w:r>
          </w:p>
        </w:tc>
      </w:tr>
      <w:tr w:rsidR="0042784E" w14:paraId="7DAA728C" w14:textId="77777777" w:rsidTr="00617E7A">
        <w:tc>
          <w:tcPr>
            <w:tcW w:w="2965" w:type="dxa"/>
          </w:tcPr>
          <w:p w14:paraId="2863E224" w14:textId="77777777" w:rsidR="0042784E" w:rsidRDefault="0042784E" w:rsidP="0042784E">
            <w:r>
              <w:t>Ken Demarest</w:t>
            </w:r>
          </w:p>
        </w:tc>
        <w:tc>
          <w:tcPr>
            <w:tcW w:w="3020" w:type="dxa"/>
          </w:tcPr>
          <w:p w14:paraId="1AE7485C" w14:textId="77777777" w:rsidR="0042784E" w:rsidRDefault="0042784E" w:rsidP="0042784E">
            <w:r>
              <w:t>School of Engineering</w:t>
            </w:r>
          </w:p>
        </w:tc>
        <w:tc>
          <w:tcPr>
            <w:tcW w:w="2871" w:type="dxa"/>
          </w:tcPr>
          <w:p w14:paraId="35CFBDA0" w14:textId="77777777" w:rsidR="0042784E" w:rsidRDefault="0042784E" w:rsidP="0042784E">
            <w:r>
              <w:t>2016–2019</w:t>
            </w:r>
          </w:p>
        </w:tc>
      </w:tr>
      <w:tr w:rsidR="0042784E" w14:paraId="681D2EF3" w14:textId="77777777" w:rsidTr="00617E7A">
        <w:tc>
          <w:tcPr>
            <w:tcW w:w="2965" w:type="dxa"/>
          </w:tcPr>
          <w:p w14:paraId="0EF95362" w14:textId="77777777" w:rsidR="0042784E" w:rsidRDefault="0042784E" w:rsidP="0042784E">
            <w:r>
              <w:t>John Broholm</w:t>
            </w:r>
          </w:p>
        </w:tc>
        <w:tc>
          <w:tcPr>
            <w:tcW w:w="3020" w:type="dxa"/>
          </w:tcPr>
          <w:p w14:paraId="0E008715" w14:textId="77777777" w:rsidR="0042784E" w:rsidRDefault="0042784E" w:rsidP="0042784E">
            <w:r>
              <w:t>School of Journalism and Mass Communications</w:t>
            </w:r>
          </w:p>
        </w:tc>
        <w:tc>
          <w:tcPr>
            <w:tcW w:w="2871" w:type="dxa"/>
          </w:tcPr>
          <w:p w14:paraId="454AF81C" w14:textId="77777777" w:rsidR="0042784E" w:rsidRDefault="0042784E" w:rsidP="0042784E">
            <w:r>
              <w:t>2015–2018</w:t>
            </w:r>
          </w:p>
        </w:tc>
      </w:tr>
      <w:tr w:rsidR="0042784E" w14:paraId="6B36BE05" w14:textId="77777777" w:rsidTr="00617E7A">
        <w:tc>
          <w:tcPr>
            <w:tcW w:w="2965" w:type="dxa"/>
          </w:tcPr>
          <w:p w14:paraId="429F05E1" w14:textId="77777777" w:rsidR="0042784E" w:rsidRDefault="0042784E" w:rsidP="0042784E">
            <w:r>
              <w:t>Colin Roust (Chair)</w:t>
            </w:r>
          </w:p>
        </w:tc>
        <w:tc>
          <w:tcPr>
            <w:tcW w:w="3020" w:type="dxa"/>
          </w:tcPr>
          <w:p w14:paraId="69B16E44" w14:textId="77777777" w:rsidR="0042784E" w:rsidRDefault="0042784E" w:rsidP="0042784E">
            <w:r>
              <w:t>School of Music</w:t>
            </w:r>
          </w:p>
        </w:tc>
        <w:tc>
          <w:tcPr>
            <w:tcW w:w="2871" w:type="dxa"/>
          </w:tcPr>
          <w:p w14:paraId="56E00543" w14:textId="77777777" w:rsidR="0042784E" w:rsidRDefault="0042784E" w:rsidP="0042784E">
            <w:r>
              <w:t>2014–2017</w:t>
            </w:r>
          </w:p>
        </w:tc>
      </w:tr>
      <w:tr w:rsidR="0042784E" w14:paraId="45C700CB" w14:textId="77777777" w:rsidTr="00617E7A">
        <w:tc>
          <w:tcPr>
            <w:tcW w:w="2965" w:type="dxa"/>
          </w:tcPr>
          <w:p w14:paraId="2E24A820" w14:textId="77777777" w:rsidR="0042784E" w:rsidRDefault="0042784E" w:rsidP="0042784E">
            <w:r>
              <w:lastRenderedPageBreak/>
              <w:t>Michael Wang</w:t>
            </w:r>
          </w:p>
        </w:tc>
        <w:tc>
          <w:tcPr>
            <w:tcW w:w="3020" w:type="dxa"/>
          </w:tcPr>
          <w:p w14:paraId="4F529317" w14:textId="77777777" w:rsidR="0042784E" w:rsidRDefault="0042784E" w:rsidP="0042784E">
            <w:r>
              <w:t>School of Pharmacy</w:t>
            </w:r>
          </w:p>
        </w:tc>
        <w:tc>
          <w:tcPr>
            <w:tcW w:w="2871" w:type="dxa"/>
          </w:tcPr>
          <w:p w14:paraId="2DE1AD6D" w14:textId="77777777" w:rsidR="0042784E" w:rsidRDefault="0042784E" w:rsidP="0042784E">
            <w:r>
              <w:t>2016–2019</w:t>
            </w:r>
          </w:p>
        </w:tc>
      </w:tr>
      <w:tr w:rsidR="0042784E" w14:paraId="4E24525E" w14:textId="77777777" w:rsidTr="00617E7A">
        <w:tc>
          <w:tcPr>
            <w:tcW w:w="2965" w:type="dxa"/>
          </w:tcPr>
          <w:p w14:paraId="7E764F8C" w14:textId="77777777" w:rsidR="0042784E" w:rsidRDefault="0042784E" w:rsidP="0042784E">
            <w:r>
              <w:t>Terry Koenig</w:t>
            </w:r>
          </w:p>
        </w:tc>
        <w:tc>
          <w:tcPr>
            <w:tcW w:w="3020" w:type="dxa"/>
          </w:tcPr>
          <w:p w14:paraId="1BD6ABF7" w14:textId="77777777" w:rsidR="0042784E" w:rsidRDefault="00617E7A" w:rsidP="0042784E">
            <w:r>
              <w:t>School of Social Welfare</w:t>
            </w:r>
          </w:p>
        </w:tc>
        <w:tc>
          <w:tcPr>
            <w:tcW w:w="2871" w:type="dxa"/>
          </w:tcPr>
          <w:p w14:paraId="158FF12F" w14:textId="55C8EB55" w:rsidR="0042784E" w:rsidRDefault="00826681" w:rsidP="0042784E">
            <w:r>
              <w:t>2015</w:t>
            </w:r>
            <w:r w:rsidR="00617E7A">
              <w:t>–201</w:t>
            </w:r>
            <w:r>
              <w:t>8</w:t>
            </w:r>
          </w:p>
        </w:tc>
      </w:tr>
    </w:tbl>
    <w:p w14:paraId="6278C620" w14:textId="77777777" w:rsidR="0042784E" w:rsidRDefault="0042784E" w:rsidP="0042784E">
      <w:pPr>
        <w:ind w:left="720"/>
      </w:pPr>
    </w:p>
    <w:p w14:paraId="4E559BA1" w14:textId="77777777" w:rsidR="00617E7A" w:rsidRDefault="00617E7A" w:rsidP="0042784E">
      <w:pPr>
        <w:ind w:left="720"/>
      </w:pPr>
      <w:r>
        <w:t>Student representation on the 2016–2017 committee included:</w:t>
      </w:r>
    </w:p>
    <w:p w14:paraId="45405FCE" w14:textId="77777777" w:rsidR="00617E7A" w:rsidRDefault="00617E7A" w:rsidP="0042784E">
      <w:pPr>
        <w:ind w:left="720"/>
      </w:pPr>
    </w:p>
    <w:tbl>
      <w:tblPr>
        <w:tblStyle w:val="TableGrid"/>
        <w:tblW w:w="0" w:type="auto"/>
        <w:tblInd w:w="720" w:type="dxa"/>
        <w:tblLook w:val="04A0" w:firstRow="1" w:lastRow="0" w:firstColumn="1" w:lastColumn="0" w:noHBand="0" w:noVBand="1"/>
      </w:tblPr>
      <w:tblGrid>
        <w:gridCol w:w="2965"/>
        <w:gridCol w:w="3020"/>
        <w:gridCol w:w="2871"/>
      </w:tblGrid>
      <w:tr w:rsidR="00617E7A" w14:paraId="004D5AFB" w14:textId="77777777" w:rsidTr="00617E7A">
        <w:tc>
          <w:tcPr>
            <w:tcW w:w="2965" w:type="dxa"/>
            <w:tcBorders>
              <w:top w:val="nil"/>
              <w:left w:val="nil"/>
              <w:bottom w:val="single" w:sz="8" w:space="0" w:color="auto"/>
              <w:right w:val="nil"/>
            </w:tcBorders>
          </w:tcPr>
          <w:p w14:paraId="51A84664" w14:textId="77777777" w:rsidR="00617E7A" w:rsidRDefault="00617E7A" w:rsidP="00617E7A">
            <w:r>
              <w:t>Name</w:t>
            </w:r>
          </w:p>
        </w:tc>
        <w:tc>
          <w:tcPr>
            <w:tcW w:w="3020" w:type="dxa"/>
            <w:tcBorders>
              <w:top w:val="nil"/>
              <w:left w:val="nil"/>
              <w:bottom w:val="single" w:sz="8" w:space="0" w:color="auto"/>
              <w:right w:val="nil"/>
            </w:tcBorders>
          </w:tcPr>
          <w:p w14:paraId="3FA13B07" w14:textId="77777777" w:rsidR="00617E7A" w:rsidRDefault="00617E7A" w:rsidP="00617E7A">
            <w:r>
              <w:t>Representing</w:t>
            </w:r>
          </w:p>
        </w:tc>
        <w:tc>
          <w:tcPr>
            <w:tcW w:w="2871" w:type="dxa"/>
            <w:tcBorders>
              <w:top w:val="nil"/>
              <w:left w:val="nil"/>
              <w:bottom w:val="single" w:sz="8" w:space="0" w:color="auto"/>
              <w:right w:val="nil"/>
            </w:tcBorders>
          </w:tcPr>
          <w:p w14:paraId="27624713" w14:textId="77777777" w:rsidR="00617E7A" w:rsidRDefault="00617E7A" w:rsidP="00617E7A">
            <w:r>
              <w:t>Term</w:t>
            </w:r>
          </w:p>
        </w:tc>
      </w:tr>
      <w:tr w:rsidR="00617E7A" w14:paraId="7290F4C5" w14:textId="77777777" w:rsidTr="00617E7A">
        <w:tc>
          <w:tcPr>
            <w:tcW w:w="2965" w:type="dxa"/>
            <w:tcBorders>
              <w:top w:val="single" w:sz="8" w:space="0" w:color="auto"/>
            </w:tcBorders>
          </w:tcPr>
          <w:p w14:paraId="32A7EFB4" w14:textId="77777777" w:rsidR="00617E7A" w:rsidRDefault="00617E7A" w:rsidP="00617E7A">
            <w:r>
              <w:t>Charles Jetty</w:t>
            </w:r>
          </w:p>
        </w:tc>
        <w:tc>
          <w:tcPr>
            <w:tcW w:w="3020" w:type="dxa"/>
            <w:tcBorders>
              <w:top w:val="single" w:sz="8" w:space="0" w:color="auto"/>
            </w:tcBorders>
          </w:tcPr>
          <w:p w14:paraId="6FA39FC9" w14:textId="77777777" w:rsidR="00617E7A" w:rsidRDefault="00617E7A" w:rsidP="00617E7A">
            <w:r>
              <w:t>Student Senate</w:t>
            </w:r>
          </w:p>
        </w:tc>
        <w:tc>
          <w:tcPr>
            <w:tcW w:w="2871" w:type="dxa"/>
            <w:tcBorders>
              <w:top w:val="single" w:sz="8" w:space="0" w:color="auto"/>
            </w:tcBorders>
          </w:tcPr>
          <w:p w14:paraId="7335D09C" w14:textId="77777777" w:rsidR="00617E7A" w:rsidRDefault="00617E7A" w:rsidP="00617E7A">
            <w:r>
              <w:t>2016–2017</w:t>
            </w:r>
          </w:p>
        </w:tc>
      </w:tr>
    </w:tbl>
    <w:p w14:paraId="3E0B0C66" w14:textId="77777777" w:rsidR="00617E7A" w:rsidRDefault="00617E7A" w:rsidP="0042784E">
      <w:pPr>
        <w:ind w:left="720"/>
      </w:pPr>
    </w:p>
    <w:p w14:paraId="48E76F02" w14:textId="77777777" w:rsidR="00617E7A" w:rsidRDefault="00617E7A" w:rsidP="0042784E">
      <w:pPr>
        <w:ind w:left="720"/>
      </w:pPr>
      <w:r>
        <w:t>Ex-officio, non-voting members on the 2016–2017 committee included:</w:t>
      </w:r>
    </w:p>
    <w:p w14:paraId="719A8447" w14:textId="77777777" w:rsidR="00617E7A" w:rsidRDefault="00617E7A" w:rsidP="0042784E">
      <w:pPr>
        <w:ind w:left="720"/>
      </w:pPr>
    </w:p>
    <w:tbl>
      <w:tblPr>
        <w:tblStyle w:val="TableGrid"/>
        <w:tblW w:w="0" w:type="auto"/>
        <w:tblInd w:w="720" w:type="dxa"/>
        <w:tblLook w:val="04A0" w:firstRow="1" w:lastRow="0" w:firstColumn="1" w:lastColumn="0" w:noHBand="0" w:noVBand="1"/>
      </w:tblPr>
      <w:tblGrid>
        <w:gridCol w:w="2965"/>
        <w:gridCol w:w="3020"/>
        <w:gridCol w:w="2871"/>
      </w:tblGrid>
      <w:tr w:rsidR="00617E7A" w14:paraId="3B199CBC" w14:textId="77777777" w:rsidTr="00617E7A">
        <w:tc>
          <w:tcPr>
            <w:tcW w:w="2965" w:type="dxa"/>
            <w:tcBorders>
              <w:top w:val="nil"/>
              <w:left w:val="nil"/>
              <w:bottom w:val="single" w:sz="8" w:space="0" w:color="auto"/>
              <w:right w:val="nil"/>
            </w:tcBorders>
          </w:tcPr>
          <w:p w14:paraId="4FD18EDA" w14:textId="77777777" w:rsidR="00617E7A" w:rsidRDefault="00617E7A" w:rsidP="00617E7A">
            <w:r>
              <w:t>Name</w:t>
            </w:r>
          </w:p>
        </w:tc>
        <w:tc>
          <w:tcPr>
            <w:tcW w:w="3020" w:type="dxa"/>
            <w:tcBorders>
              <w:top w:val="nil"/>
              <w:left w:val="nil"/>
              <w:bottom w:val="single" w:sz="8" w:space="0" w:color="auto"/>
              <w:right w:val="nil"/>
            </w:tcBorders>
          </w:tcPr>
          <w:p w14:paraId="3562332A" w14:textId="77777777" w:rsidR="00617E7A" w:rsidRDefault="00617E7A" w:rsidP="00617E7A">
            <w:r>
              <w:t>Representing</w:t>
            </w:r>
          </w:p>
        </w:tc>
        <w:tc>
          <w:tcPr>
            <w:tcW w:w="2871" w:type="dxa"/>
            <w:tcBorders>
              <w:top w:val="nil"/>
              <w:left w:val="nil"/>
              <w:bottom w:val="single" w:sz="8" w:space="0" w:color="auto"/>
              <w:right w:val="nil"/>
            </w:tcBorders>
          </w:tcPr>
          <w:p w14:paraId="1351904D" w14:textId="77777777" w:rsidR="00617E7A" w:rsidRDefault="00617E7A" w:rsidP="00617E7A">
            <w:r>
              <w:t>Term</w:t>
            </w:r>
          </w:p>
        </w:tc>
      </w:tr>
      <w:tr w:rsidR="00617E7A" w14:paraId="2025ADDD" w14:textId="77777777" w:rsidTr="00617E7A">
        <w:tc>
          <w:tcPr>
            <w:tcW w:w="2965" w:type="dxa"/>
            <w:tcBorders>
              <w:top w:val="single" w:sz="8" w:space="0" w:color="auto"/>
            </w:tcBorders>
          </w:tcPr>
          <w:p w14:paraId="609EAC11" w14:textId="77777777" w:rsidR="00617E7A" w:rsidRDefault="00617E7A" w:rsidP="00617E7A">
            <w:r>
              <w:t>Jill Becker</w:t>
            </w:r>
          </w:p>
        </w:tc>
        <w:tc>
          <w:tcPr>
            <w:tcW w:w="3020" w:type="dxa"/>
            <w:tcBorders>
              <w:top w:val="single" w:sz="8" w:space="0" w:color="auto"/>
            </w:tcBorders>
          </w:tcPr>
          <w:p w14:paraId="423BE4DD" w14:textId="77777777" w:rsidR="00617E7A" w:rsidRDefault="00617E7A" w:rsidP="00617E7A">
            <w:r>
              <w:t>Libraries</w:t>
            </w:r>
          </w:p>
        </w:tc>
        <w:tc>
          <w:tcPr>
            <w:tcW w:w="2871" w:type="dxa"/>
            <w:tcBorders>
              <w:top w:val="single" w:sz="8" w:space="0" w:color="auto"/>
            </w:tcBorders>
          </w:tcPr>
          <w:p w14:paraId="0EC7C037" w14:textId="77777777" w:rsidR="00617E7A" w:rsidRDefault="00617E7A" w:rsidP="00617E7A">
            <w:r>
              <w:t>2016–2017</w:t>
            </w:r>
          </w:p>
        </w:tc>
      </w:tr>
      <w:tr w:rsidR="00617E7A" w14:paraId="2C77E082" w14:textId="77777777" w:rsidTr="00617E7A">
        <w:tc>
          <w:tcPr>
            <w:tcW w:w="2965" w:type="dxa"/>
          </w:tcPr>
          <w:p w14:paraId="608BAD62" w14:textId="77777777" w:rsidR="00617E7A" w:rsidRDefault="00617E7A" w:rsidP="00617E7A">
            <w:r>
              <w:t>Norb Belz</w:t>
            </w:r>
          </w:p>
        </w:tc>
        <w:tc>
          <w:tcPr>
            <w:tcW w:w="3020" w:type="dxa"/>
          </w:tcPr>
          <w:p w14:paraId="698767FC" w14:textId="77777777" w:rsidR="00617E7A" w:rsidRDefault="00617E7A" w:rsidP="00617E7A">
            <w:r>
              <w:t>Medical Center</w:t>
            </w:r>
          </w:p>
        </w:tc>
        <w:tc>
          <w:tcPr>
            <w:tcW w:w="2871" w:type="dxa"/>
          </w:tcPr>
          <w:p w14:paraId="0AAD1128" w14:textId="77777777" w:rsidR="00617E7A" w:rsidRDefault="00617E7A" w:rsidP="00617E7A">
            <w:r>
              <w:t>2016–2017</w:t>
            </w:r>
          </w:p>
        </w:tc>
      </w:tr>
      <w:tr w:rsidR="00617E7A" w14:paraId="3EBC00B6" w14:textId="77777777" w:rsidTr="00617E7A">
        <w:tc>
          <w:tcPr>
            <w:tcW w:w="2965" w:type="dxa"/>
          </w:tcPr>
          <w:p w14:paraId="0DEC9ED1" w14:textId="77777777" w:rsidR="00617E7A" w:rsidRDefault="00617E7A" w:rsidP="00617E7A">
            <w:r>
              <w:t>DeAngela Burns-Wallace</w:t>
            </w:r>
          </w:p>
        </w:tc>
        <w:tc>
          <w:tcPr>
            <w:tcW w:w="3020" w:type="dxa"/>
          </w:tcPr>
          <w:p w14:paraId="49956542" w14:textId="77777777" w:rsidR="00617E7A" w:rsidRDefault="00617E7A" w:rsidP="00617E7A">
            <w:r>
              <w:t>Undergraduate Studies</w:t>
            </w:r>
          </w:p>
        </w:tc>
        <w:tc>
          <w:tcPr>
            <w:tcW w:w="2871" w:type="dxa"/>
          </w:tcPr>
          <w:p w14:paraId="035A6AB3" w14:textId="77777777" w:rsidR="00617E7A" w:rsidRDefault="00617E7A" w:rsidP="00617E7A">
            <w:r>
              <w:t>No end date</w:t>
            </w:r>
          </w:p>
        </w:tc>
      </w:tr>
      <w:tr w:rsidR="00617E7A" w14:paraId="368BA8A4" w14:textId="77777777" w:rsidTr="00617E7A">
        <w:tc>
          <w:tcPr>
            <w:tcW w:w="2965" w:type="dxa"/>
          </w:tcPr>
          <w:p w14:paraId="4D741BFC" w14:textId="77777777" w:rsidR="00617E7A" w:rsidRDefault="00617E7A" w:rsidP="00617E7A">
            <w:r>
              <w:t>Holly Scheirman</w:t>
            </w:r>
          </w:p>
        </w:tc>
        <w:tc>
          <w:tcPr>
            <w:tcW w:w="3020" w:type="dxa"/>
          </w:tcPr>
          <w:p w14:paraId="7A627287" w14:textId="77777777" w:rsidR="00617E7A" w:rsidRDefault="00617E7A" w:rsidP="00617E7A">
            <w:r>
              <w:t>KU Core Coordinator</w:t>
            </w:r>
          </w:p>
        </w:tc>
        <w:tc>
          <w:tcPr>
            <w:tcW w:w="2871" w:type="dxa"/>
          </w:tcPr>
          <w:p w14:paraId="2DD09909" w14:textId="77777777" w:rsidR="00617E7A" w:rsidRDefault="00617E7A" w:rsidP="00617E7A">
            <w:r>
              <w:t>No end date</w:t>
            </w:r>
          </w:p>
        </w:tc>
      </w:tr>
    </w:tbl>
    <w:p w14:paraId="26D1622A" w14:textId="77777777" w:rsidR="00617E7A" w:rsidRDefault="00617E7A" w:rsidP="0042784E">
      <w:pPr>
        <w:ind w:left="720"/>
      </w:pPr>
    </w:p>
    <w:p w14:paraId="49AF9CC8" w14:textId="77777777" w:rsidR="006121A3" w:rsidRPr="006121A3" w:rsidRDefault="006121A3" w:rsidP="00FD10CC">
      <w:pPr>
        <w:pStyle w:val="Heading1"/>
        <w:ind w:left="720" w:hanging="720"/>
      </w:pPr>
      <w:r>
        <w:t xml:space="preserve">The Composition of the Core Curriculum: </w:t>
      </w:r>
      <w:proofErr w:type="spellStart"/>
      <w:r>
        <w:t>Recertifications</w:t>
      </w:r>
      <w:proofErr w:type="spellEnd"/>
      <w:r>
        <w:t>, Nominations, and Student Petitions</w:t>
      </w:r>
    </w:p>
    <w:p w14:paraId="711E6EFC" w14:textId="77777777" w:rsidR="006121A3" w:rsidRDefault="006121A3" w:rsidP="006121A3">
      <w:pPr>
        <w:pStyle w:val="Heading2"/>
      </w:pPr>
      <w:r>
        <w:t xml:space="preserve">Recertification for Goals 2.1, 2.2, and 3H </w:t>
      </w:r>
    </w:p>
    <w:p w14:paraId="37949A94" w14:textId="77777777" w:rsidR="00355ED9" w:rsidRDefault="00355ED9" w:rsidP="00355ED9">
      <w:pPr>
        <w:ind w:left="1440"/>
      </w:pPr>
      <w:r>
        <w:t>During 2016–2017, the committee reviewed the recertification reports for courses meeting Goals 2.1 (Written Communication), 2.2 (Oral Communication), and Goal 3H (Arts and Humanities). The number of courses reviewed were:</w:t>
      </w:r>
    </w:p>
    <w:p w14:paraId="5AFB024C" w14:textId="77777777" w:rsidR="00355ED9" w:rsidRDefault="00355ED9" w:rsidP="00355ED9">
      <w:pPr>
        <w:ind w:left="1440"/>
      </w:pPr>
    </w:p>
    <w:p w14:paraId="6A93F1FA" w14:textId="46CBF06F" w:rsidR="00355ED9" w:rsidRDefault="00826681" w:rsidP="00355ED9">
      <w:pPr>
        <w:ind w:left="1440" w:firstLine="720"/>
      </w:pPr>
      <w:r>
        <w:t>Goal 2.1: 20</w:t>
      </w:r>
      <w:r w:rsidR="00355ED9">
        <w:t xml:space="preserve"> courses</w:t>
      </w:r>
    </w:p>
    <w:p w14:paraId="48B6F1E4" w14:textId="0E40D940" w:rsidR="00355ED9" w:rsidRDefault="00355ED9" w:rsidP="00355ED9">
      <w:pPr>
        <w:ind w:left="2160"/>
      </w:pPr>
      <w:r>
        <w:t>Goal 2.2:</w:t>
      </w:r>
      <w:r w:rsidR="00826681">
        <w:t xml:space="preserve"> 15</w:t>
      </w:r>
      <w:r>
        <w:t xml:space="preserve"> courses</w:t>
      </w:r>
    </w:p>
    <w:p w14:paraId="2D6A8B26" w14:textId="37772A19" w:rsidR="00355ED9" w:rsidRDefault="00826681" w:rsidP="00355ED9">
      <w:pPr>
        <w:ind w:left="2160"/>
      </w:pPr>
      <w:r>
        <w:t>Goal 3H: 173</w:t>
      </w:r>
      <w:r w:rsidR="00355ED9">
        <w:t xml:space="preserve"> courses</w:t>
      </w:r>
    </w:p>
    <w:p w14:paraId="6B690A0B" w14:textId="77777777" w:rsidR="00355ED9" w:rsidRDefault="00355ED9" w:rsidP="00355ED9">
      <w:pPr>
        <w:ind w:left="1440"/>
      </w:pPr>
    </w:p>
    <w:p w14:paraId="37B32EA6" w14:textId="7B255F79" w:rsidR="00355ED9" w:rsidRDefault="00355ED9" w:rsidP="00355ED9">
      <w:pPr>
        <w:ind w:left="1440"/>
      </w:pPr>
      <w:r>
        <w:t xml:space="preserve">The final decisions on these courses represented the following categories: recertify, recertify with comments, or decertify. If a course was recertified with comments, the department was provided with specific feedback on concerns that the committee would like to see addressed during the next round of recertification. </w:t>
      </w:r>
      <w:r w:rsidR="002A27FA">
        <w:t>If a course was decertified by the committee, the decision was based on a determination that—even after a request for additional information—the recertification report did not adequately demonstrate that the course met the learning objectives of the Goal.</w:t>
      </w:r>
      <w:r w:rsidR="004B3AE3">
        <w:t xml:space="preserve"> </w:t>
      </w:r>
      <w:r w:rsidR="002A27FA">
        <w:t xml:space="preserve">All decertification decisions, regardless of the reason, will take effect Fall 2018, giving time for the department to appeal and for curricular impact to be assessed. </w:t>
      </w:r>
      <w:r>
        <w:t>The number of courses that fell into each category were:</w:t>
      </w:r>
    </w:p>
    <w:p w14:paraId="70116A72" w14:textId="77777777" w:rsidR="00355ED9" w:rsidRDefault="00355ED9" w:rsidP="00355ED9">
      <w:pPr>
        <w:ind w:left="1440"/>
      </w:pPr>
    </w:p>
    <w:p w14:paraId="672D96F1" w14:textId="10C1FFCC" w:rsidR="00355ED9" w:rsidRDefault="00355ED9" w:rsidP="00355ED9">
      <w:pPr>
        <w:ind w:left="1440"/>
      </w:pPr>
      <w:r>
        <w:tab/>
        <w:t xml:space="preserve">Recertify: </w:t>
      </w:r>
      <w:r w:rsidR="00775B57">
        <w:t>163</w:t>
      </w:r>
      <w:r>
        <w:t xml:space="preserve"> courses</w:t>
      </w:r>
    </w:p>
    <w:p w14:paraId="5B047B62" w14:textId="7D7EFF49" w:rsidR="00355ED9" w:rsidRDefault="00355ED9" w:rsidP="00355ED9">
      <w:pPr>
        <w:ind w:left="1440"/>
      </w:pPr>
      <w:r>
        <w:tab/>
        <w:t xml:space="preserve">Recertify with comments: </w:t>
      </w:r>
      <w:r w:rsidR="00775B57">
        <w:t>6</w:t>
      </w:r>
      <w:r>
        <w:t xml:space="preserve"> courses</w:t>
      </w:r>
    </w:p>
    <w:p w14:paraId="55FE44A7" w14:textId="0C148CFB" w:rsidR="00355ED9" w:rsidRDefault="00355ED9" w:rsidP="00355ED9">
      <w:pPr>
        <w:ind w:left="1440"/>
      </w:pPr>
      <w:r>
        <w:tab/>
        <w:t xml:space="preserve">Decertify (request of department): </w:t>
      </w:r>
      <w:r w:rsidR="00775B57">
        <w:t>5</w:t>
      </w:r>
      <w:r>
        <w:t xml:space="preserve"> courses</w:t>
      </w:r>
    </w:p>
    <w:p w14:paraId="169CA3A5" w14:textId="0C2CD174" w:rsidR="00355ED9" w:rsidRDefault="00355ED9" w:rsidP="00355ED9">
      <w:pPr>
        <w:ind w:left="1440"/>
      </w:pPr>
      <w:r>
        <w:tab/>
        <w:t xml:space="preserve">Decertify (by determination of the committee): </w:t>
      </w:r>
      <w:r w:rsidR="00775B57">
        <w:t>1</w:t>
      </w:r>
      <w:r>
        <w:t xml:space="preserve"> course</w:t>
      </w:r>
    </w:p>
    <w:p w14:paraId="123EB6C7" w14:textId="68927A9D" w:rsidR="00355ED9" w:rsidRDefault="002A27FA" w:rsidP="002A27FA">
      <w:pPr>
        <w:ind w:left="1440"/>
      </w:pPr>
      <w:r>
        <w:tab/>
      </w:r>
      <w:r w:rsidR="00775B57">
        <w:t>N</w:t>
      </w:r>
      <w:r>
        <w:t xml:space="preserve">ot </w:t>
      </w:r>
      <w:r w:rsidR="00775B57">
        <w:t>taught (hiatus)</w:t>
      </w:r>
      <w:r>
        <w:t xml:space="preserve">: </w:t>
      </w:r>
      <w:r w:rsidR="00775B57">
        <w:t xml:space="preserve">17 </w:t>
      </w:r>
      <w:r>
        <w:t>courses</w:t>
      </w:r>
    </w:p>
    <w:p w14:paraId="088D491D" w14:textId="77777777" w:rsidR="00094575" w:rsidRDefault="00094575" w:rsidP="002A27FA">
      <w:pPr>
        <w:ind w:left="1440"/>
      </w:pPr>
    </w:p>
    <w:p w14:paraId="5676BBB7" w14:textId="63CCA409" w:rsidR="004B3AE3" w:rsidRPr="00355ED9" w:rsidRDefault="004B3AE3" w:rsidP="002A27FA">
      <w:pPr>
        <w:ind w:left="1440"/>
      </w:pPr>
      <w:r w:rsidRPr="00DE7153">
        <w:t>Courses that were not taught were put into a hiatus status until the courses are brought back into circulation. These courses were not decertified. It was requested that the department notify the UCCC of when the course was next taught for full re-instatement.</w:t>
      </w:r>
    </w:p>
    <w:p w14:paraId="0AF6AEDD" w14:textId="77777777" w:rsidR="006121A3" w:rsidRDefault="006121A3" w:rsidP="006121A3">
      <w:pPr>
        <w:pStyle w:val="Heading2"/>
      </w:pPr>
      <w:r>
        <w:t>Student Petitions</w:t>
      </w:r>
    </w:p>
    <w:p w14:paraId="349EFB19" w14:textId="64E2E381" w:rsidR="002A27FA" w:rsidRDefault="002A27FA" w:rsidP="002A27FA">
      <w:pPr>
        <w:ind w:left="1440"/>
      </w:pPr>
      <w:r>
        <w:t xml:space="preserve">During 2016–2017, the committee received </w:t>
      </w:r>
      <w:r w:rsidR="00EF2856">
        <w:t xml:space="preserve">60 </w:t>
      </w:r>
      <w:r>
        <w:t xml:space="preserve">student petitions. These petitions were reviewed first by the KU Core Coordinator to ensure that all required documents were included. They were next reviewed by the UCCC Chair, who took one of three actions: </w:t>
      </w:r>
      <w:r w:rsidR="00055477">
        <w:t xml:space="preserve">request for more information, </w:t>
      </w:r>
      <w:r>
        <w:t xml:space="preserve">reject based on inappropriateness for the learning objectives of the Goal, </w:t>
      </w:r>
      <w:r w:rsidR="00055477">
        <w:t xml:space="preserve">or </w:t>
      </w:r>
      <w:r>
        <w:t>advance to the full committee for consideration. The decisions on those petitions were:</w:t>
      </w:r>
    </w:p>
    <w:p w14:paraId="77B0C823" w14:textId="7001956D" w:rsidR="00055477" w:rsidRDefault="00055477" w:rsidP="009470B6"/>
    <w:p w14:paraId="53FAEC89" w14:textId="0B0D15B8" w:rsidR="002A27FA" w:rsidRDefault="00055477" w:rsidP="00055477">
      <w:pPr>
        <w:ind w:left="1440" w:firstLine="720"/>
      </w:pPr>
      <w:r>
        <w:t xml:space="preserve">Inappropriate for the Goal (UCCC Chair): </w:t>
      </w:r>
      <w:r w:rsidR="00775B57">
        <w:t xml:space="preserve">5 </w:t>
      </w:r>
      <w:r>
        <w:t>petitions</w:t>
      </w:r>
    </w:p>
    <w:p w14:paraId="5C512D7E" w14:textId="1006F256" w:rsidR="00055477" w:rsidRDefault="00055477" w:rsidP="00055477">
      <w:pPr>
        <w:ind w:left="1440" w:firstLine="720"/>
      </w:pPr>
      <w:r>
        <w:t xml:space="preserve">Rejected (full committee): </w:t>
      </w:r>
      <w:r w:rsidR="00775B57">
        <w:t xml:space="preserve">12 </w:t>
      </w:r>
      <w:r>
        <w:t>petitions</w:t>
      </w:r>
    </w:p>
    <w:p w14:paraId="7A700B8B" w14:textId="758B9372" w:rsidR="009A473D" w:rsidRDefault="00055477" w:rsidP="009470B6">
      <w:pPr>
        <w:ind w:left="1440" w:firstLine="720"/>
      </w:pPr>
      <w:r>
        <w:t xml:space="preserve">Approved (full committee): </w:t>
      </w:r>
      <w:r w:rsidR="009A473D">
        <w:t>4</w:t>
      </w:r>
      <w:r w:rsidR="00775B57">
        <w:t xml:space="preserve">3 </w:t>
      </w:r>
      <w:r>
        <w:t>petitions</w:t>
      </w:r>
    </w:p>
    <w:p w14:paraId="0B5787E6" w14:textId="77777777" w:rsidR="009A473D" w:rsidRDefault="009A473D" w:rsidP="009470B6">
      <w:pPr>
        <w:ind w:left="1440"/>
      </w:pPr>
    </w:p>
    <w:p w14:paraId="6598F8FA" w14:textId="02A89542" w:rsidR="009A473D" w:rsidRPr="002A27FA" w:rsidRDefault="009A473D" w:rsidP="00B27DB2">
      <w:pPr>
        <w:ind w:left="1440"/>
      </w:pPr>
      <w:r w:rsidRPr="007A73D8">
        <w:rPr>
          <w:rFonts w:ascii="Cambria" w:hAnsi="Cambria" w:cs="}=U'B8Ôˇø»Øœ"/>
        </w:rPr>
        <w:t xml:space="preserve">UCCC created </w:t>
      </w:r>
      <w:r>
        <w:rPr>
          <w:rFonts w:ascii="Cambria" w:hAnsi="Cambria" w:cs="}=U'B8Ôˇø»Øœ"/>
        </w:rPr>
        <w:t>a subcommittee to review student petitions submitted during the summer</w:t>
      </w:r>
      <w:r w:rsidR="009C1118">
        <w:rPr>
          <w:rFonts w:ascii="Cambria" w:hAnsi="Cambria" w:cs="}=U'B8Ôˇø»Øœ"/>
        </w:rPr>
        <w:t xml:space="preserve"> 2017</w:t>
      </w:r>
      <w:r>
        <w:rPr>
          <w:rFonts w:ascii="Cambria" w:hAnsi="Cambria" w:cs="}=U'B8Ôˇø»Øœ"/>
        </w:rPr>
        <w:t xml:space="preserve"> when the UCCC does not conduct regular meetings. This subcommittee considered </w:t>
      </w:r>
      <w:r w:rsidR="001E6DFE">
        <w:rPr>
          <w:rFonts w:ascii="Cambria" w:hAnsi="Cambria" w:cs="}=U'B8Ôˇø»Øœ"/>
        </w:rPr>
        <w:t>23</w:t>
      </w:r>
      <w:r>
        <w:rPr>
          <w:rFonts w:ascii="Cambria" w:hAnsi="Cambria" w:cs="}=U'B8Ôˇø»Øœ"/>
        </w:rPr>
        <w:t xml:space="preserve"> petitions, of which </w:t>
      </w:r>
      <w:r w:rsidR="001E6DFE" w:rsidRPr="00DE7153">
        <w:rPr>
          <w:rFonts w:ascii="Cambria" w:hAnsi="Cambria" w:cs="}=U'B8Ôˇø»Øœ"/>
        </w:rPr>
        <w:t>1</w:t>
      </w:r>
      <w:r w:rsidR="00DE7153" w:rsidRPr="00DE7153">
        <w:rPr>
          <w:rFonts w:ascii="Cambria" w:hAnsi="Cambria" w:cs="}=U'B8Ôˇø»Øœ"/>
        </w:rPr>
        <w:t>7</w:t>
      </w:r>
      <w:r w:rsidRPr="00DE7153">
        <w:rPr>
          <w:rFonts w:ascii="Cambria" w:hAnsi="Cambria" w:cs="}=U'B8Ôˇø»Øœ"/>
        </w:rPr>
        <w:t xml:space="preserve"> were approved and </w:t>
      </w:r>
      <w:r w:rsidR="00F54C3D" w:rsidRPr="00DE7153">
        <w:rPr>
          <w:rFonts w:ascii="Cambria" w:hAnsi="Cambria" w:cs="}=U'B8Ôˇø»Øœ"/>
        </w:rPr>
        <w:t>6</w:t>
      </w:r>
      <w:r>
        <w:rPr>
          <w:rFonts w:ascii="Cambria" w:hAnsi="Cambria" w:cs="}=U'B8Ôˇø»Øœ"/>
        </w:rPr>
        <w:t xml:space="preserve"> were denied.</w:t>
      </w:r>
    </w:p>
    <w:p w14:paraId="2A14A92E" w14:textId="77777777" w:rsidR="006121A3" w:rsidRDefault="006121A3" w:rsidP="006121A3">
      <w:pPr>
        <w:pStyle w:val="Heading2"/>
      </w:pPr>
      <w:r>
        <w:t>Course Nominations</w:t>
      </w:r>
    </w:p>
    <w:p w14:paraId="75AB1AA1" w14:textId="4DDCFC72" w:rsidR="00055477" w:rsidRDefault="00055477" w:rsidP="00055477">
      <w:pPr>
        <w:ind w:left="1440"/>
      </w:pPr>
      <w:r>
        <w:t xml:space="preserve">During 2016–2017, the committee received </w:t>
      </w:r>
      <w:r w:rsidR="00775B57">
        <w:t xml:space="preserve">47 </w:t>
      </w:r>
      <w:r>
        <w:t xml:space="preserve">nominations for individual courses and </w:t>
      </w:r>
      <w:r w:rsidR="00775B57">
        <w:t xml:space="preserve">2 </w:t>
      </w:r>
      <w:r>
        <w:t>nominations for multi-course sequences. The actions taken on course nominations were one of three options: approve, reject, request for more information. In the case of a rejection, departments have the option of appealing the decision, a process that involves working with the UCCC Chair to craft a statement of appeal. The number of courses that fell into each category were:</w:t>
      </w:r>
    </w:p>
    <w:p w14:paraId="40299949" w14:textId="77777777" w:rsidR="00055477" w:rsidRDefault="00055477" w:rsidP="00055477">
      <w:pPr>
        <w:ind w:left="1440"/>
      </w:pPr>
    </w:p>
    <w:p w14:paraId="16EA56AB" w14:textId="77777777" w:rsidR="00055477" w:rsidRDefault="00055477" w:rsidP="00055477">
      <w:pPr>
        <w:ind w:left="1440"/>
      </w:pPr>
      <w:r>
        <w:tab/>
        <w:t>Individual courses</w:t>
      </w:r>
    </w:p>
    <w:p w14:paraId="370BAD19" w14:textId="31CD91CF" w:rsidR="00055477" w:rsidRDefault="00055477" w:rsidP="00055477">
      <w:pPr>
        <w:ind w:left="1440"/>
      </w:pPr>
      <w:r>
        <w:tab/>
      </w:r>
      <w:r>
        <w:tab/>
        <w:t xml:space="preserve">Approved: </w:t>
      </w:r>
      <w:r w:rsidR="00775B57">
        <w:t>38</w:t>
      </w:r>
      <w:r>
        <w:t xml:space="preserve"> courses</w:t>
      </w:r>
    </w:p>
    <w:p w14:paraId="55FC5CCA" w14:textId="38EF74B0" w:rsidR="00055477" w:rsidRDefault="00055477" w:rsidP="00055477">
      <w:pPr>
        <w:ind w:left="1440"/>
      </w:pPr>
      <w:r>
        <w:tab/>
      </w:r>
      <w:r>
        <w:tab/>
        <w:t xml:space="preserve">Rejected: </w:t>
      </w:r>
      <w:r w:rsidR="00775B57">
        <w:t>13</w:t>
      </w:r>
      <w:r>
        <w:t xml:space="preserve"> courses</w:t>
      </w:r>
    </w:p>
    <w:p w14:paraId="4D80A0E0" w14:textId="555C6678" w:rsidR="00055477" w:rsidRDefault="00055477" w:rsidP="00055477">
      <w:pPr>
        <w:ind w:left="1440"/>
      </w:pPr>
      <w:r>
        <w:tab/>
      </w:r>
      <w:r>
        <w:tab/>
        <w:t xml:space="preserve">Request for more information: </w:t>
      </w:r>
      <w:r w:rsidR="00775B57">
        <w:t xml:space="preserve">3 </w:t>
      </w:r>
      <w:r>
        <w:t>courses</w:t>
      </w:r>
    </w:p>
    <w:p w14:paraId="5AA89601" w14:textId="54D3DDF6" w:rsidR="00055477" w:rsidRDefault="00055477" w:rsidP="00055477">
      <w:pPr>
        <w:ind w:left="1440"/>
      </w:pPr>
      <w:r>
        <w:tab/>
      </w:r>
      <w:r>
        <w:tab/>
        <w:t xml:space="preserve">Approved after appeal: </w:t>
      </w:r>
      <w:r w:rsidR="00775B57">
        <w:t xml:space="preserve">3 </w:t>
      </w:r>
      <w:r>
        <w:t>courses</w:t>
      </w:r>
    </w:p>
    <w:p w14:paraId="108F7C08" w14:textId="0FD56CA7" w:rsidR="00055477" w:rsidRDefault="00055477" w:rsidP="00055477">
      <w:pPr>
        <w:ind w:left="1440"/>
      </w:pPr>
      <w:r>
        <w:tab/>
      </w:r>
      <w:r>
        <w:tab/>
        <w:t xml:space="preserve">Rejected after appeal: </w:t>
      </w:r>
      <w:r w:rsidR="00775B57">
        <w:t xml:space="preserve">0 </w:t>
      </w:r>
      <w:r>
        <w:t>courses</w:t>
      </w:r>
    </w:p>
    <w:p w14:paraId="6B960650" w14:textId="77777777" w:rsidR="00055477" w:rsidRDefault="00055477" w:rsidP="00055477">
      <w:pPr>
        <w:ind w:left="1440"/>
      </w:pPr>
    </w:p>
    <w:p w14:paraId="757D08DF" w14:textId="77777777" w:rsidR="00055477" w:rsidRDefault="00055477" w:rsidP="00055477">
      <w:pPr>
        <w:ind w:left="1440"/>
      </w:pPr>
      <w:r>
        <w:tab/>
        <w:t>Multi-course sequences</w:t>
      </w:r>
    </w:p>
    <w:p w14:paraId="58CA3CBC" w14:textId="09B60090" w:rsidR="00055477" w:rsidRDefault="00055477" w:rsidP="00055477">
      <w:pPr>
        <w:ind w:left="1440"/>
      </w:pPr>
      <w:r>
        <w:tab/>
      </w:r>
      <w:r>
        <w:tab/>
        <w:t xml:space="preserve">Approved: </w:t>
      </w:r>
      <w:r w:rsidR="00775B57">
        <w:t xml:space="preserve">2 </w:t>
      </w:r>
      <w:r>
        <w:t>sequences</w:t>
      </w:r>
    </w:p>
    <w:p w14:paraId="6188DD86" w14:textId="26404924" w:rsidR="00055477" w:rsidRDefault="00055477" w:rsidP="00055477">
      <w:pPr>
        <w:ind w:left="1440"/>
      </w:pPr>
      <w:r>
        <w:tab/>
      </w:r>
      <w:r>
        <w:tab/>
        <w:t xml:space="preserve">Rejected: </w:t>
      </w:r>
      <w:r w:rsidR="00775B57">
        <w:t xml:space="preserve">0 </w:t>
      </w:r>
      <w:r>
        <w:t>sequences</w:t>
      </w:r>
    </w:p>
    <w:p w14:paraId="5AA746BA" w14:textId="0B429FBB" w:rsidR="00055477" w:rsidRDefault="00055477" w:rsidP="00055477">
      <w:pPr>
        <w:ind w:left="1440"/>
      </w:pPr>
      <w:r>
        <w:tab/>
      </w:r>
      <w:r>
        <w:tab/>
        <w:t xml:space="preserve">Request for more information: </w:t>
      </w:r>
      <w:r w:rsidR="00775B57">
        <w:t xml:space="preserve">1 </w:t>
      </w:r>
      <w:r>
        <w:t>sequences</w:t>
      </w:r>
    </w:p>
    <w:p w14:paraId="5E5140BC" w14:textId="15F67E83" w:rsidR="00055477" w:rsidRDefault="00055477" w:rsidP="00055477">
      <w:pPr>
        <w:ind w:left="1440"/>
      </w:pPr>
      <w:r>
        <w:tab/>
      </w:r>
      <w:r>
        <w:tab/>
        <w:t xml:space="preserve">Approved after appeal: </w:t>
      </w:r>
      <w:r w:rsidR="00775B57">
        <w:t xml:space="preserve">1 </w:t>
      </w:r>
      <w:r>
        <w:t>sequences</w:t>
      </w:r>
    </w:p>
    <w:p w14:paraId="6E2D4D1A" w14:textId="2C601632" w:rsidR="00055477" w:rsidRDefault="00055477" w:rsidP="00055477">
      <w:pPr>
        <w:ind w:left="1440"/>
      </w:pPr>
      <w:r>
        <w:tab/>
      </w:r>
      <w:r>
        <w:tab/>
        <w:t xml:space="preserve">Rejected after appeal: </w:t>
      </w:r>
      <w:r w:rsidR="00775B57">
        <w:t xml:space="preserve">0 </w:t>
      </w:r>
      <w:r>
        <w:t>sequences</w:t>
      </w:r>
    </w:p>
    <w:p w14:paraId="5AF3D25C" w14:textId="77777777" w:rsidR="00055477" w:rsidRPr="00055477" w:rsidRDefault="00055477" w:rsidP="00055477">
      <w:pPr>
        <w:ind w:left="1440"/>
      </w:pPr>
    </w:p>
    <w:p w14:paraId="56D9ED43" w14:textId="77777777" w:rsidR="006121A3" w:rsidRDefault="006121A3" w:rsidP="00FD10CC">
      <w:pPr>
        <w:pStyle w:val="Heading1"/>
        <w:ind w:left="720" w:hanging="720"/>
      </w:pPr>
      <w:r>
        <w:t>The Composition of the Core Curriculum: Transfer Agreements, Experiences, Etc.</w:t>
      </w:r>
    </w:p>
    <w:p w14:paraId="3F174D7B" w14:textId="1872BA8E" w:rsidR="008547C8" w:rsidRDefault="008547C8" w:rsidP="00B27DB2">
      <w:pPr>
        <w:ind w:left="720"/>
      </w:pPr>
      <w:r>
        <w:t>This year marked the fourth year of the implementation of the KU Core. Guided by the UCCC Chair and the Vice Provost of Undergraduate Studies, the committee began a process of reviewing the Core policies (see also the “Data Collection and Analysis” section below). Among the policy issues considered by the committee were:</w:t>
      </w:r>
    </w:p>
    <w:p w14:paraId="7C0435E8" w14:textId="77777777" w:rsidR="008547C8" w:rsidRDefault="008547C8" w:rsidP="008547C8">
      <w:pPr>
        <w:pStyle w:val="Heading2"/>
      </w:pPr>
      <w:r>
        <w:t>Transfer Issues</w:t>
      </w:r>
    </w:p>
    <w:p w14:paraId="489502DC" w14:textId="77777777" w:rsidR="008547C8" w:rsidRDefault="008547C8" w:rsidP="008547C8">
      <w:pPr>
        <w:pStyle w:val="ListParagraph"/>
        <w:numPr>
          <w:ilvl w:val="0"/>
          <w:numId w:val="7"/>
        </w:numPr>
      </w:pPr>
      <w:r>
        <w:t>Associate of Arts Degree from regionally accredited public colleges, public universities, or community colleges outside of Kansas: Rejected.</w:t>
      </w:r>
    </w:p>
    <w:p w14:paraId="179B9C3F" w14:textId="77777777" w:rsidR="008547C8" w:rsidRDefault="008547C8" w:rsidP="008547C8">
      <w:pPr>
        <w:pStyle w:val="ListParagraph"/>
        <w:numPr>
          <w:ilvl w:val="0"/>
          <w:numId w:val="7"/>
        </w:numPr>
      </w:pPr>
      <w:r>
        <w:t>Baker University “Quest” sequence for Goals 2.1 and 2.2: Approved.</w:t>
      </w:r>
    </w:p>
    <w:p w14:paraId="47C5ED0F" w14:textId="77777777" w:rsidR="008547C8" w:rsidRDefault="008547C8" w:rsidP="008547C8">
      <w:pPr>
        <w:pStyle w:val="ListParagraph"/>
        <w:numPr>
          <w:ilvl w:val="0"/>
          <w:numId w:val="7"/>
        </w:numPr>
      </w:pPr>
      <w:r>
        <w:t>Baker University “Quest—Global Series” sequence for Goals 4.1 and 4.2: Rejected.</w:t>
      </w:r>
    </w:p>
    <w:p w14:paraId="0F243FEE" w14:textId="77777777" w:rsidR="008547C8" w:rsidRDefault="008547C8" w:rsidP="008547C8">
      <w:pPr>
        <w:pStyle w:val="ListParagraph"/>
        <w:numPr>
          <w:ilvl w:val="0"/>
          <w:numId w:val="7"/>
        </w:numPr>
      </w:pPr>
      <w:r>
        <w:t xml:space="preserve">Johnson County Community College Associate of Science Degree for Goals 1–3: Approved. </w:t>
      </w:r>
    </w:p>
    <w:p w14:paraId="7CB53B04" w14:textId="77777777" w:rsidR="008547C8" w:rsidRDefault="008547C8" w:rsidP="008547C8">
      <w:pPr>
        <w:pStyle w:val="ListParagraph"/>
        <w:numPr>
          <w:ilvl w:val="0"/>
          <w:numId w:val="7"/>
        </w:numPr>
      </w:pPr>
      <w:r>
        <w:t>Metropolitan Community College Associate of Arts Degree for Goals 1–3: Approved.</w:t>
      </w:r>
    </w:p>
    <w:p w14:paraId="2C6B0C06" w14:textId="75DBB7D1" w:rsidR="008547C8" w:rsidRDefault="008547C8" w:rsidP="008547C8">
      <w:pPr>
        <w:pStyle w:val="ListParagraph"/>
        <w:numPr>
          <w:ilvl w:val="0"/>
          <w:numId w:val="7"/>
        </w:numPr>
      </w:pPr>
      <w:r>
        <w:t>University of Missouri-Kansas City “Discourse” sequence for Goals 2.1 and 2.2: Approved.</w:t>
      </w:r>
    </w:p>
    <w:p w14:paraId="21B92024" w14:textId="77777777" w:rsidR="008547C8" w:rsidRDefault="008547C8" w:rsidP="008547C8">
      <w:pPr>
        <w:pStyle w:val="Heading2"/>
      </w:pPr>
      <w:r>
        <w:t>Educational Experiences</w:t>
      </w:r>
    </w:p>
    <w:p w14:paraId="5612D660" w14:textId="77777777" w:rsidR="008547C8" w:rsidRDefault="008547C8" w:rsidP="008547C8">
      <w:pPr>
        <w:ind w:left="1440"/>
      </w:pPr>
      <w:r>
        <w:t xml:space="preserve">From its inception, the Core Curriculum has promised that educational experiences </w:t>
      </w:r>
      <w:r w:rsidR="002555C5">
        <w:t>could be used to meet Core Goals. However, there was no policy language to provide guidance as to what these educational experiences would look like. While a number of experiences were fast-tracked into the Core when it was first implemented, no experiences have been proposed or approved since then. With the approval of this new language, the committee hopes to encourage proposals for new experiences that meet the learning objectives of Core Goals.</w:t>
      </w:r>
    </w:p>
    <w:p w14:paraId="2BB6FDCA" w14:textId="77777777" w:rsidR="002555C5" w:rsidRDefault="002555C5" w:rsidP="008547C8">
      <w:pPr>
        <w:ind w:left="1440"/>
      </w:pPr>
    </w:p>
    <w:p w14:paraId="2632EADA" w14:textId="6DC4A479" w:rsidR="002555C5" w:rsidRPr="008547C8" w:rsidRDefault="002555C5" w:rsidP="008547C8">
      <w:pPr>
        <w:ind w:left="1440"/>
      </w:pPr>
      <w:r>
        <w:t xml:space="preserve">With the advice of John Augusto, Assistant Vice Provost for Experiential Learning, the policy language was drafted around four principles: Intention, preparedness, and planning; Reflection; Monitoring progress; Assessment and evaluation. </w:t>
      </w:r>
      <w:r w:rsidR="00360B55">
        <w:t>The process for submitting an individualized sponsored experience can be found on the KU Core website at kucore.ku.edu</w:t>
      </w:r>
      <w:r w:rsidR="007D25B9">
        <w:t>/educational-experiences</w:t>
      </w:r>
      <w:r w:rsidR="00360B55">
        <w:t xml:space="preserve">. </w:t>
      </w:r>
    </w:p>
    <w:p w14:paraId="0A687714" w14:textId="77777777" w:rsidR="006121A3" w:rsidRDefault="006121A3" w:rsidP="006121A3">
      <w:pPr>
        <w:pStyle w:val="Heading1"/>
      </w:pPr>
      <w:r>
        <w:t xml:space="preserve">2017 Haufler </w:t>
      </w:r>
      <w:r w:rsidR="00FD10CC">
        <w:t xml:space="preserve">KU Core Innovation </w:t>
      </w:r>
      <w:r>
        <w:t>Award</w:t>
      </w:r>
    </w:p>
    <w:p w14:paraId="64ACF17C" w14:textId="173B6491" w:rsidR="00FD10CC" w:rsidRPr="00FD10CC" w:rsidRDefault="00FD10CC" w:rsidP="00FD10CC">
      <w:pPr>
        <w:ind w:left="720"/>
      </w:pPr>
      <w:r>
        <w:t>The Christopher Haufler KU Core Innovation Award, funded by the Office of the Provost, honors the creative and forward-thinking work of academic departments in developing or transforming outstanding Core courses, assessing the KU Core learning outcomes, and disseminating the assessments as models of excellent teaching and learning. The 2017 Award was presented to the Department of Curriculum and Teaching for their transformations of C&amp;T 100: Introduction to the Education Profession.</w:t>
      </w:r>
      <w:r w:rsidR="009C1118">
        <w:t xml:space="preserve"> Their submission and former award winners can be found on the KU Core website at kucore.ku.edu. </w:t>
      </w:r>
    </w:p>
    <w:p w14:paraId="59B91D3A" w14:textId="77777777" w:rsidR="00321C34" w:rsidRDefault="00321C34" w:rsidP="00321C34">
      <w:pPr>
        <w:pStyle w:val="Heading1"/>
      </w:pPr>
      <w:r>
        <w:t>State of the Core</w:t>
      </w:r>
    </w:p>
    <w:p w14:paraId="2DA32B97" w14:textId="77777777" w:rsidR="00321C34" w:rsidRDefault="00321C34" w:rsidP="00321C34">
      <w:pPr>
        <w:pStyle w:val="Heading2"/>
      </w:pPr>
      <w:r>
        <w:t>Data Collection and Analysis</w:t>
      </w:r>
    </w:p>
    <w:p w14:paraId="67CBFA73" w14:textId="476AB849" w:rsidR="00321C34" w:rsidRDefault="00321C34" w:rsidP="00321C34">
      <w:pPr>
        <w:ind w:left="1440"/>
      </w:pPr>
      <w:r>
        <w:t>The Core Curriculum was implemented in 2013, with all incoming freshman from that point onward required to meet the goals of the curriculum. Having reached the four-year-graduation mark for that class of students, we can begin to collect data on how those students have met the goals. The Office of the Vice Provost for Undergraduate Studies and the Office of Institutional Research &amp; Planning have worked throughout the year to collect this data</w:t>
      </w:r>
      <w:r w:rsidR="00775B57">
        <w:t>.</w:t>
      </w:r>
    </w:p>
    <w:p w14:paraId="1753E945" w14:textId="77777777" w:rsidR="00321C34" w:rsidRDefault="00321C34" w:rsidP="00321C34"/>
    <w:p w14:paraId="0928A73B" w14:textId="77777777" w:rsidR="00321C34" w:rsidRDefault="00321C34" w:rsidP="00321C34">
      <w:pPr>
        <w:ind w:left="1440"/>
      </w:pPr>
      <w:r>
        <w:t>Although the data currently exhibits too much statistical noise to make any specific observations, there are several general trends that can be reported:</w:t>
      </w:r>
      <w:r>
        <w:br/>
      </w:r>
    </w:p>
    <w:p w14:paraId="77A42785" w14:textId="45B6FD04" w:rsidR="00321C34" w:rsidRDefault="00321C34" w:rsidP="00321C34">
      <w:pPr>
        <w:ind w:left="1710" w:hanging="270"/>
      </w:pPr>
      <w:r>
        <w:t>1. The vast majority of completed goals have been met by coursework</w:t>
      </w:r>
      <w:r w:rsidR="005C6EE6">
        <w:t xml:space="preserve">. However, due to the current programming of </w:t>
      </w:r>
      <w:r w:rsidR="007D25B9">
        <w:t xml:space="preserve">Student Information </w:t>
      </w:r>
      <w:r w:rsidR="003C30DA">
        <w:t>Systems</w:t>
      </w:r>
      <w:r w:rsidR="005C6EE6">
        <w:t xml:space="preserve">, that coursework may not have been done at KU. “Coursework” here includes KU equivalent courses that (1) are in the Core and (2) appear on the student’s transcript as a result of either transferring from another university or as a result of performance on the AP, IB, or CLEP exams. (For details on which courses students can earn credit for on the AP, IB, or CLEP exams, see </w:t>
      </w:r>
      <w:r w:rsidR="005C6EE6" w:rsidRPr="005C6EE6">
        <w:t>https://admissions.ku.edu/earningcredit</w:t>
      </w:r>
      <w:r w:rsidR="005C6EE6">
        <w:t>.)</w:t>
      </w:r>
    </w:p>
    <w:p w14:paraId="6F8D1625" w14:textId="77777777" w:rsidR="00321C34" w:rsidRDefault="00321C34" w:rsidP="00321C34">
      <w:pPr>
        <w:ind w:left="1710" w:hanging="270"/>
      </w:pPr>
      <w:r>
        <w:t>2. The most common exemptions are for Goal 1.2 (Quantitative Literacy) and 2.1 (Written Communication). The former is granted for students whose ACT math score is ≥26. The latter is granted for students whose ACT verbal score is ≥27.</w:t>
      </w:r>
    </w:p>
    <w:p w14:paraId="12977AF6" w14:textId="77777777" w:rsidR="00321C34" w:rsidRDefault="00321C34" w:rsidP="00321C34">
      <w:pPr>
        <w:ind w:left="1710" w:hanging="270"/>
      </w:pPr>
      <w:r>
        <w:t>3. A majority of students are completing Goals 1 through 3 during their first and second years, and a majority of students are completing Goals 4 through 6 during their third and fourth years.</w:t>
      </w:r>
      <w:r w:rsidR="00FD10CC">
        <w:t xml:space="preserve"> However, there are instances of students completing each goal at all points across the four-year period.</w:t>
      </w:r>
    </w:p>
    <w:p w14:paraId="4A7C1A3B" w14:textId="441F4780" w:rsidR="00C0093F" w:rsidRPr="00C0093F" w:rsidRDefault="00C0093F" w:rsidP="00C0093F">
      <w:pPr>
        <w:ind w:left="1710" w:hanging="270"/>
      </w:pPr>
      <w:r>
        <w:t xml:space="preserve">4. </w:t>
      </w:r>
      <w:r w:rsidRPr="00C0093F">
        <w:t xml:space="preserve">A successful education promotes thinking within or across disciplines to generate original ideas, to be creative, and to find new ways of perception and expression. Students have demonstrated interdisciplinary thinking by completing a double major, a major and co-major, or a major and minor. Since the inception of the core, there has been </w:t>
      </w:r>
      <w:r w:rsidR="00B27DB2">
        <w:t>a steady</w:t>
      </w:r>
      <w:r w:rsidRPr="00C0093F">
        <w:t xml:space="preserve"> increase in double-majors and a significant increase in minors. </w:t>
      </w:r>
    </w:p>
    <w:p w14:paraId="5854EA09" w14:textId="77777777" w:rsidR="00321C34" w:rsidRDefault="00321C34" w:rsidP="00C0093F"/>
    <w:p w14:paraId="2D83D5F9" w14:textId="1228BB08" w:rsidR="00321C34" w:rsidRPr="00B42AEC" w:rsidRDefault="00321C34" w:rsidP="00C0093F">
      <w:pPr>
        <w:ind w:left="1440"/>
      </w:pPr>
      <w:r>
        <w:t>It is hoped that the 2017–2018 committee will be able use more refined versions of this data to prepare recommendations for revisions to the UCCC Policy.</w:t>
      </w:r>
    </w:p>
    <w:p w14:paraId="35B47D49" w14:textId="77777777" w:rsidR="00321C34" w:rsidRDefault="00321C34" w:rsidP="00321C34">
      <w:pPr>
        <w:pStyle w:val="Heading2"/>
      </w:pPr>
      <w:r>
        <w:t xml:space="preserve">Procedural Changes </w:t>
      </w:r>
    </w:p>
    <w:p w14:paraId="68372C77" w14:textId="77777777" w:rsidR="00321C34" w:rsidRDefault="00321C34" w:rsidP="00321C34">
      <w:pPr>
        <w:ind w:left="1440"/>
      </w:pPr>
      <w:r>
        <w:t xml:space="preserve">During the 2015–2016 academic year, the regular course of the committee’s business required committee members to access documents and other information in three separate systems: Hawk Drive, </w:t>
      </w:r>
      <w:proofErr w:type="spellStart"/>
      <w:r>
        <w:t>CourseLeaf</w:t>
      </w:r>
      <w:proofErr w:type="spellEnd"/>
      <w:r>
        <w:t>, and the Course Inventory Management System (CIM). This was a significant burden and required an unnecessary amount of time from the committee members. During Summer 2016, the Office of the Vice Provost of Undergraduate Studies worked with the Center for Online and Distance Learning to set up a Blackboard site for the committee. All documents for the committee’s review were prepared by the KU Core Coordinator and made available to committee members in Blackboard. With a single login and a single system, the work done by committee members was far more efficient. In addition, the Blackboard site provides a far better means of archiving the committee’s work than was previously done.</w:t>
      </w:r>
    </w:p>
    <w:p w14:paraId="27B1ADFE" w14:textId="77777777" w:rsidR="00321C34" w:rsidRDefault="00321C34" w:rsidP="00321C34">
      <w:pPr>
        <w:ind w:left="1440"/>
      </w:pPr>
    </w:p>
    <w:p w14:paraId="74C849BD" w14:textId="7F06CD6B" w:rsidR="00321C34" w:rsidRPr="00617E7A" w:rsidRDefault="00321C34" w:rsidP="00B27DB2">
      <w:pPr>
        <w:ind w:left="1440"/>
      </w:pPr>
      <w:r>
        <w:t xml:space="preserve">2016–2017 marked the second year of the recertification process. The committee essentially adopted the same working process as had been designed the previous year. The committee employed several features in Blackboard to streamline the process, while the Vice Provost for Undergraduate Studies and the KU Core Coordinator refined the administrative processes for tracking courses as they moved through the </w:t>
      </w:r>
      <w:r w:rsidR="001470B6">
        <w:t xml:space="preserve">recertification </w:t>
      </w:r>
      <w:r>
        <w:t>process. One key observation was that cross-listed courses were not being recognized as being linked; this is now being address</w:t>
      </w:r>
      <w:r w:rsidR="00AF49FB">
        <w:t>ed</w:t>
      </w:r>
      <w:r>
        <w:t xml:space="preserve"> by</w:t>
      </w:r>
      <w:r w:rsidR="00AF49FB">
        <w:t xml:space="preserve"> the Course Information Management system</w:t>
      </w:r>
      <w:r>
        <w:t>.</w:t>
      </w:r>
    </w:p>
    <w:p w14:paraId="42C1DADC" w14:textId="77777777" w:rsidR="00321C34" w:rsidRDefault="00321C34" w:rsidP="00321C34">
      <w:pPr>
        <w:pStyle w:val="Heading2"/>
      </w:pPr>
      <w:r>
        <w:t>Response to 2017 University Core Curriculum Survey</w:t>
      </w:r>
    </w:p>
    <w:p w14:paraId="764B9DE3" w14:textId="0927CB43" w:rsidR="00321C34" w:rsidRDefault="00321C34" w:rsidP="00B27DB2">
      <w:pPr>
        <w:ind w:left="1440"/>
      </w:pPr>
      <w:r>
        <w:t>For the third year, the Faculty Senate Executive Committee has charged the Faculty Rights, Privileges and Responsibilities Committee to monitor the implementation of the KU Core Curriculum by administering a survey.  Because the report on that survey was delivered in a timely fashion to the UCCC Chair, this year’s UCCC report responds to the major themes identified in that survey.</w:t>
      </w:r>
    </w:p>
    <w:p w14:paraId="4DF50CEB" w14:textId="77777777" w:rsidR="00321C34" w:rsidRDefault="00321C34" w:rsidP="00321C34">
      <w:pPr>
        <w:pStyle w:val="Heading3"/>
      </w:pPr>
      <w:r>
        <w:t>“Process tedious and inefficient.”</w:t>
      </w:r>
    </w:p>
    <w:p w14:paraId="4CFD6C29" w14:textId="6C802758" w:rsidR="00321C34" w:rsidRDefault="00321C34" w:rsidP="00321C34">
      <w:pPr>
        <w:ind w:left="2160"/>
      </w:pPr>
      <w:r>
        <w:t xml:space="preserve">The procedural efficiencies mentioned above have ensured that the committee is completing its work as quickly as possible. Course nomination forms and student petition forms are distributed to committee members 10 days prior to each biweekly meeting. Decisions on committee votes are generally reported within 2 days after each biweekly meeting. As a result, the committee takes action on all course nominations and student </w:t>
      </w:r>
      <w:r w:rsidR="00AF49FB">
        <w:t xml:space="preserve">petitions </w:t>
      </w:r>
      <w:r>
        <w:t>within 2 to 4 weeks of them reaching the committee. At no point in the 2016–2017 academic year did the committee have a backlog.</w:t>
      </w:r>
      <w:r>
        <w:br/>
      </w:r>
      <w:r>
        <w:br/>
        <w:t>All course nominations are advanced to the committee by the various curriculum committees of the College and the professional schools after passing through the Registrar’s Office. We observe that these curriculum committees have widely varying response times and that those committees should evaluate their processes for any inefficiencies that could be eliminated to improve the course nomination process.</w:t>
      </w:r>
      <w:r>
        <w:br/>
      </w:r>
      <w:r>
        <w:br/>
        <w:t xml:space="preserve">The course recertification process takes a considerable amount of time for the committee. Departments are expected to submit their reports by September 15. The committee evaluates the reports during October and November, with any requests for additional information going out in December. Revised reports are received in January with final decisions being made during the committee’s February meetings. Those final decisions are reported in March. </w:t>
      </w:r>
      <w:r>
        <w:br/>
      </w:r>
      <w:r>
        <w:br/>
        <w:t>In the two years of the recertification process, that calendar has proved ambitious. In 2015–2016, the recertification process was not fully completed until after the Spring Semester had ended. This year, several efficiencies were realized in the process and it was fully completed in early April. The outgoing UCCC Chair, the Vice Provost for Undergraduate Studies, and the KU Core Coordinator will continue to review and refine the process in preparation for the 2017–2018 academic year.</w:t>
      </w:r>
    </w:p>
    <w:p w14:paraId="312B441A" w14:textId="77777777" w:rsidR="00126035" w:rsidRDefault="00126035" w:rsidP="00321C34">
      <w:pPr>
        <w:ind w:left="2160"/>
      </w:pPr>
    </w:p>
    <w:p w14:paraId="250A5075" w14:textId="17BD65C2" w:rsidR="00B27DB2" w:rsidRDefault="00126035" w:rsidP="00B27DB2">
      <w:pPr>
        <w:ind w:left="2160"/>
      </w:pPr>
      <w:r>
        <w:t xml:space="preserve">The KU Core website will be overhauled during Summer 2017. One of the </w:t>
      </w:r>
      <w:r w:rsidR="00567FE8">
        <w:t>new additions will be clarifications of the nomination and recertification processes and timelines.</w:t>
      </w:r>
    </w:p>
    <w:p w14:paraId="31C82AD1" w14:textId="77777777" w:rsidR="00321C34" w:rsidRDefault="00321C34" w:rsidP="00321C34">
      <w:pPr>
        <w:pStyle w:val="Heading3"/>
      </w:pPr>
      <w:r>
        <w:t>“Course approval perceived as arbitrary and political.”</w:t>
      </w:r>
    </w:p>
    <w:p w14:paraId="3B4A0F4F" w14:textId="56AD76F8" w:rsidR="00321C34" w:rsidRDefault="00321C34" w:rsidP="00B27DB2">
      <w:pPr>
        <w:ind w:left="2160"/>
      </w:pPr>
      <w:r>
        <w:t>This theme appears to be an extension of the “Perception of bias” reported in the 2016 survey. From the perspective of the committee, we remain unclear as to what is being perceived as “arbitrary and political.” For any courses that are rejected by the committee, we</w:t>
      </w:r>
      <w:r w:rsidR="00B27DB2">
        <w:t xml:space="preserve"> </w:t>
      </w:r>
      <w:r>
        <w:t>encourage the nominating department to discuss an appeal with the chair.</w:t>
      </w:r>
    </w:p>
    <w:p w14:paraId="233A105C" w14:textId="77777777" w:rsidR="00321C34" w:rsidRDefault="00321C34" w:rsidP="00321C34">
      <w:pPr>
        <w:pStyle w:val="Heading3"/>
      </w:pPr>
      <w:r>
        <w:t>“Lack of communication of feedback from UCCC.”</w:t>
      </w:r>
    </w:p>
    <w:p w14:paraId="059257EA" w14:textId="57777F66" w:rsidR="00321C34" w:rsidRDefault="00AF49FB" w:rsidP="001470B6">
      <w:pPr>
        <w:ind w:left="2160"/>
      </w:pPr>
      <w:r>
        <w:t xml:space="preserve">The UCCC is supported out of the Undergraduate Studies office. In the past, the communication has been handled by the executive assistant. Effective in February, the KU Core Coordinator </w:t>
      </w:r>
      <w:r w:rsidR="001470B6">
        <w:t xml:space="preserve">position </w:t>
      </w:r>
      <w:r>
        <w:t xml:space="preserve">was </w:t>
      </w:r>
      <w:r w:rsidR="001470B6">
        <w:t xml:space="preserve">created </w:t>
      </w:r>
      <w:r>
        <w:t xml:space="preserve">to relay information in a more timely and efficient manner. </w:t>
      </w:r>
    </w:p>
    <w:p w14:paraId="2174DA11" w14:textId="77777777" w:rsidR="00AF49FB" w:rsidRDefault="00AF49FB" w:rsidP="001470B6">
      <w:pPr>
        <w:ind w:left="2160"/>
      </w:pPr>
    </w:p>
    <w:p w14:paraId="5FD58030" w14:textId="044E242F" w:rsidR="00AF49FB" w:rsidRDefault="00AF49FB" w:rsidP="001470B6">
      <w:pPr>
        <w:ind w:left="2160"/>
      </w:pPr>
      <w:r>
        <w:t xml:space="preserve">The week following UCCC meetings, the coordinator communicated decisions on petitions and course nominations. The recertification decisions were held until the end of the process to be reported. </w:t>
      </w:r>
    </w:p>
    <w:p w14:paraId="1ADE807D" w14:textId="77777777" w:rsidR="00AF49FB" w:rsidRDefault="00AF49FB" w:rsidP="001470B6">
      <w:pPr>
        <w:ind w:left="2160"/>
      </w:pPr>
    </w:p>
    <w:p w14:paraId="5A437237" w14:textId="57B9F9AF" w:rsidR="00321C34" w:rsidRDefault="00AF49FB" w:rsidP="00B27DB2">
      <w:pPr>
        <w:ind w:left="2160"/>
      </w:pPr>
      <w:r>
        <w:t>In partnership with the chair and the Vice Provost for Undergraduate Studies, the coordinator has created a communication plan to create a more timely communication strategy for the UCCC. In addition, a calendar of important dates will be added to the website.</w:t>
      </w:r>
    </w:p>
    <w:p w14:paraId="68818963" w14:textId="77777777" w:rsidR="00321C34" w:rsidRDefault="00321C34" w:rsidP="00321C34">
      <w:pPr>
        <w:pStyle w:val="Heading3"/>
      </w:pPr>
      <w:r>
        <w:t>“Not enough science or technology courses.”</w:t>
      </w:r>
    </w:p>
    <w:p w14:paraId="77D14BB6" w14:textId="14AC9681" w:rsidR="00321C34" w:rsidRDefault="00321C34" w:rsidP="00B27DB2">
      <w:pPr>
        <w:ind w:left="2160"/>
      </w:pPr>
      <w:r>
        <w:t xml:space="preserve">This is an artifact of which courses were fast-tracked into the Core Curriculum at its creation and which </w:t>
      </w:r>
      <w:r w:rsidR="001470B6">
        <w:t xml:space="preserve">courses </w:t>
      </w:r>
      <w:r>
        <w:t>have been nominated since that time. The lack of science and technology courses is particularly noticeable in Goal 3N (Natural Sciences), for which 58 courses are currently approved (as opposed to 187 courses for Goal 3H and 99 for Goal 3S). The Natural Sciences Division of the College and the College of Engineering currently account for approximately 13% (153 of 1171) of the courses approved for the Core Curriculum.</w:t>
      </w:r>
      <w:r w:rsidR="009C1118">
        <w:t xml:space="preserve"> UCCC is willing to give feedback on any proposal and encourages the department to submit if they feel the course meets the guidelines.</w:t>
      </w:r>
    </w:p>
    <w:p w14:paraId="3352792F" w14:textId="77777777" w:rsidR="00321C34" w:rsidRDefault="00321C34" w:rsidP="00321C34">
      <w:pPr>
        <w:pStyle w:val="Heading3"/>
      </w:pPr>
      <w:r>
        <w:t>“Transfer courses do not go through same process.”</w:t>
      </w:r>
    </w:p>
    <w:p w14:paraId="7DFFC17C" w14:textId="3F9B5675" w:rsidR="00321C34" w:rsidRPr="00321C34" w:rsidRDefault="00321C34" w:rsidP="00321C34">
      <w:pPr>
        <w:ind w:left="2160"/>
        <w:rPr>
          <w:rFonts w:eastAsia="Times New Roman" w:cs="Times New Roman"/>
          <w:color w:val="333333"/>
          <w:shd w:val="clear" w:color="auto" w:fill="FFFFFF"/>
        </w:rPr>
      </w:pPr>
      <w:r>
        <w:t>This observation is correct. The reasons for this are rooted in both policy and practicality.</w:t>
      </w:r>
      <w:r>
        <w:br/>
      </w:r>
      <w:r>
        <w:br/>
        <w:t>The Kansas Board of Regents mandates that: “</w:t>
      </w:r>
      <w:r w:rsidRPr="00084E08">
        <w:rPr>
          <w:rFonts w:eastAsia="Times New Roman" w:cs="Times New Roman"/>
          <w:color w:val="333333"/>
          <w:shd w:val="clear" w:color="auto" w:fill="FFFFFF"/>
        </w:rPr>
        <w:t>Students who have earned an Associate of Arts degree from a regionally accredited Kansas public college, public university, or public community college will be considered to have met Goals 1-3 of the KU Core (general education).</w:t>
      </w:r>
      <w:r>
        <w:rPr>
          <w:rFonts w:eastAsia="Times New Roman" w:cs="Times New Roman"/>
          <w:color w:val="333333"/>
          <w:shd w:val="clear" w:color="auto" w:fill="FFFFFF"/>
        </w:rPr>
        <w:t xml:space="preserve">” Based on decisions made this year by the committee on the recommendation of the </w:t>
      </w:r>
      <w:r w:rsidR="009976D5">
        <w:rPr>
          <w:rFonts w:eastAsia="Times New Roman" w:cs="Times New Roman"/>
          <w:color w:val="333333"/>
          <w:shd w:val="clear" w:color="auto" w:fill="FFFFFF"/>
        </w:rPr>
        <w:t xml:space="preserve">Transfer Articulation and Policy Council, </w:t>
      </w:r>
      <w:r>
        <w:rPr>
          <w:rFonts w:eastAsia="Times New Roman" w:cs="Times New Roman"/>
          <w:color w:val="333333"/>
          <w:shd w:val="clear" w:color="auto" w:fill="FFFFFF"/>
        </w:rPr>
        <w:t>a similar policy has been adopted for Associate of Science degree holders from Johnson County Community College, Associate of Arts degree holders from Metropolitan Community College (Kansas City, MO), and for students transferring from Baker University who have completed the Quest general education curriculum.</w:t>
      </w:r>
      <w:r>
        <w:rPr>
          <w:rFonts w:eastAsia="Times New Roman" w:cs="Times New Roman"/>
          <w:color w:val="333333"/>
          <w:shd w:val="clear" w:color="auto" w:fill="FFFFFF"/>
        </w:rPr>
        <w:br/>
      </w:r>
      <w:r>
        <w:rPr>
          <w:rFonts w:eastAsia="Times New Roman" w:cs="Times New Roman"/>
          <w:color w:val="333333"/>
          <w:shd w:val="clear" w:color="auto" w:fill="FFFFFF"/>
        </w:rPr>
        <w:br/>
        <w:t xml:space="preserve">Apart from these blanket approvals, if a course is identified by </w:t>
      </w:r>
      <w:proofErr w:type="spellStart"/>
      <w:r>
        <w:rPr>
          <w:rFonts w:eastAsia="Times New Roman" w:cs="Times New Roman"/>
          <w:color w:val="333333"/>
          <w:shd w:val="clear" w:color="auto" w:fill="FFFFFF"/>
        </w:rPr>
        <w:t>CredTran</w:t>
      </w:r>
      <w:proofErr w:type="spellEnd"/>
      <w:r>
        <w:rPr>
          <w:rFonts w:eastAsia="Times New Roman" w:cs="Times New Roman"/>
          <w:color w:val="333333"/>
          <w:shd w:val="clear" w:color="auto" w:fill="FFFFFF"/>
        </w:rPr>
        <w:t xml:space="preserve"> as transferring as a particular course that is approved for a KU Core Goal, then the Registrar’s system will automatically indicate that the student has met that Core Goal. The committee sees this often in relation to Goal 2.2 (Oral Communication)—for example, if </w:t>
      </w:r>
      <w:proofErr w:type="spellStart"/>
      <w:r>
        <w:rPr>
          <w:rFonts w:eastAsia="Times New Roman" w:cs="Times New Roman"/>
          <w:color w:val="333333"/>
          <w:shd w:val="clear" w:color="auto" w:fill="FFFFFF"/>
        </w:rPr>
        <w:t>CredTran</w:t>
      </w:r>
      <w:proofErr w:type="spellEnd"/>
      <w:r>
        <w:rPr>
          <w:rFonts w:eastAsia="Times New Roman" w:cs="Times New Roman"/>
          <w:color w:val="333333"/>
          <w:shd w:val="clear" w:color="auto" w:fill="FFFFFF"/>
        </w:rPr>
        <w:t xml:space="preserve"> transfers a course as COMS 130, then the student is has met Goal 2.2; if the course transfers as COMS 150, then the student has not met that goal.</w:t>
      </w:r>
      <w:r>
        <w:rPr>
          <w:rFonts w:eastAsia="Times New Roman" w:cs="Times New Roman"/>
          <w:color w:val="333333"/>
          <w:shd w:val="clear" w:color="auto" w:fill="FFFFFF"/>
        </w:rPr>
        <w:br/>
      </w:r>
      <w:r>
        <w:rPr>
          <w:rFonts w:eastAsia="Times New Roman" w:cs="Times New Roman"/>
          <w:color w:val="333333"/>
          <w:shd w:val="clear" w:color="auto" w:fill="FFFFFF"/>
        </w:rPr>
        <w:br/>
        <w:t>The transfer courses that are considered on a course-by-course basis by the committee are reviewed in the form of student petitions. At this time, there is no other mechanism in place for review of transfer courses.</w:t>
      </w:r>
    </w:p>
    <w:p w14:paraId="57AEA1D7" w14:textId="77777777" w:rsidR="006121A3" w:rsidRDefault="00EB4E1D" w:rsidP="00EB4E1D">
      <w:pPr>
        <w:pStyle w:val="Heading1"/>
      </w:pPr>
      <w:r>
        <w:t>Recommendations for the 2017–2018 Committee</w:t>
      </w:r>
    </w:p>
    <w:p w14:paraId="61838F3E" w14:textId="77777777" w:rsidR="00321C34" w:rsidRDefault="00321C34" w:rsidP="006121A3">
      <w:pPr>
        <w:pStyle w:val="Heading2"/>
      </w:pPr>
      <w:r>
        <w:t>Continue to refine the recertification process</w:t>
      </w:r>
    </w:p>
    <w:p w14:paraId="0F1B2B12" w14:textId="747A7A1E" w:rsidR="00321C34" w:rsidRDefault="00321C34" w:rsidP="00321C34">
      <w:pPr>
        <w:ind w:left="1440"/>
      </w:pPr>
      <w:r>
        <w:t xml:space="preserve">It seems difficult to imagine that the process can be fully completed before March, but it would be ideal and should be possible to finish by Spring Break. The primary reason for delay this year </w:t>
      </w:r>
      <w:r w:rsidR="001470B6">
        <w:t xml:space="preserve">was </w:t>
      </w:r>
      <w:r>
        <w:t>late submissions by departments, so a more proactive communication strategy may be helpful.</w:t>
      </w:r>
    </w:p>
    <w:p w14:paraId="20501A72" w14:textId="77777777" w:rsidR="00321C34" w:rsidRDefault="00321C34" w:rsidP="00321C34">
      <w:pPr>
        <w:ind w:left="1440"/>
      </w:pPr>
    </w:p>
    <w:p w14:paraId="3C135723" w14:textId="77777777" w:rsidR="00321C34" w:rsidRPr="00321C34" w:rsidRDefault="00321C34" w:rsidP="00321C34">
      <w:pPr>
        <w:ind w:left="1440"/>
      </w:pPr>
      <w:r>
        <w:t>In addition, the quality of feedback for the requests for more information (the “revise and resubmit” requests) was widely varying. There needs to be a better mechanism to ensure that departments are provided with clear and specific requests of what additional information they need to provide.</w:t>
      </w:r>
    </w:p>
    <w:p w14:paraId="4D02BDBE" w14:textId="77777777" w:rsidR="006121A3" w:rsidRDefault="00321C34" w:rsidP="006121A3">
      <w:pPr>
        <w:pStyle w:val="Heading2"/>
      </w:pPr>
      <w:r>
        <w:t>Consider the role of student representatives</w:t>
      </w:r>
    </w:p>
    <w:p w14:paraId="7D360EAB" w14:textId="77777777" w:rsidR="006121A3" w:rsidRDefault="00321C34" w:rsidP="00FD10CC">
      <w:pPr>
        <w:ind w:left="1440"/>
      </w:pPr>
      <w:r>
        <w:t>Over the past two years, the Student Senate has struggled to find representatives who were willing and able to attend committee meetings. Because UCCC policy requires that 20% of the committee be student representation, this has consistently raised quorum issues.</w:t>
      </w:r>
    </w:p>
    <w:p w14:paraId="1DDD9E80" w14:textId="77777777" w:rsidR="00567FE8" w:rsidRDefault="00567FE8" w:rsidP="00567FE8">
      <w:pPr>
        <w:pStyle w:val="Heading2"/>
      </w:pPr>
      <w:r>
        <w:t xml:space="preserve">Revise the course nomination forms in CIM and the recertification forms </w:t>
      </w:r>
    </w:p>
    <w:p w14:paraId="5A164906" w14:textId="77777777" w:rsidR="00567FE8" w:rsidRDefault="00567FE8" w:rsidP="00567FE8">
      <w:pPr>
        <w:ind w:left="1440"/>
      </w:pPr>
      <w:r>
        <w:t>After going through the recertification process twice, it has become clear that the questions on both the nomination and recertification forms need to mirror more closely the language for the learning objectives of each Goal, as stated on the KU Core website.</w:t>
      </w:r>
    </w:p>
    <w:p w14:paraId="706AD9E5" w14:textId="77777777" w:rsidR="009C1118" w:rsidRDefault="00567FE8" w:rsidP="009C1118">
      <w:pPr>
        <w:pStyle w:val="Heading2"/>
      </w:pPr>
      <w:r>
        <w:t>Review the student petition process and forms</w:t>
      </w:r>
    </w:p>
    <w:p w14:paraId="0FB1899E" w14:textId="78ABC19C" w:rsidR="005C6EE6" w:rsidRPr="005C6EE6" w:rsidRDefault="005C6EE6" w:rsidP="00DE7153">
      <w:pPr>
        <w:ind w:left="1440"/>
      </w:pPr>
      <w:r>
        <w:t>Every year a number of student petitions are submitted without all of the required documentation and, in some cases, the documentation is still insufficient for UCCC to feel confident enough in the petition to approve it. The process and forms should be evaluated to seek greater clarification of the committee’s expectations and to seek any refinements that can be made in the process.</w:t>
      </w:r>
    </w:p>
    <w:p w14:paraId="18B834E9" w14:textId="77777777" w:rsidR="009C1118" w:rsidRDefault="009C1118" w:rsidP="009C1118">
      <w:pPr>
        <w:pStyle w:val="Heading2"/>
      </w:pPr>
      <w:r>
        <w:t>Address governance and communication concerns</w:t>
      </w:r>
    </w:p>
    <w:p w14:paraId="40524B5F" w14:textId="42EAE3DB" w:rsidR="009C1118" w:rsidRDefault="009C1118" w:rsidP="009C1118">
      <w:pPr>
        <w:ind w:left="1440"/>
      </w:pPr>
      <w:r>
        <w:t xml:space="preserve">The Office of the Provost in conjunction with the UCCC chair, the UCCC, and the Faculty </w:t>
      </w:r>
      <w:r w:rsidR="005C6EE6">
        <w:t xml:space="preserve">Senate </w:t>
      </w:r>
      <w:r>
        <w:t xml:space="preserve">Executive Committee proposed an additional seat on UCCC for a Faculty Senate Representative. This seat will be a one-year pilot to help determine the best long-term structure, term length, and voting parameters for the role. </w:t>
      </w:r>
    </w:p>
    <w:p w14:paraId="3A125653" w14:textId="30226397" w:rsidR="002555C5" w:rsidRDefault="002555C5" w:rsidP="009C1118">
      <w:pPr>
        <w:pStyle w:val="Heading2"/>
        <w:numPr>
          <w:ilvl w:val="0"/>
          <w:numId w:val="0"/>
        </w:numPr>
        <w:ind w:left="720"/>
      </w:pPr>
    </w:p>
    <w:p w14:paraId="6C866EF7" w14:textId="77777777" w:rsidR="002555C5" w:rsidRDefault="002555C5" w:rsidP="002555C5">
      <w:r>
        <w:t>Respectfully submitted by,</w:t>
      </w:r>
    </w:p>
    <w:p w14:paraId="7C5BD823" w14:textId="77777777" w:rsidR="002555C5" w:rsidRDefault="002555C5" w:rsidP="002555C5">
      <w:r>
        <w:t>Colin Roust</w:t>
      </w:r>
    </w:p>
    <w:p w14:paraId="6A7FB1D2" w14:textId="77777777" w:rsidR="002555C5" w:rsidRPr="006121A3" w:rsidRDefault="002555C5" w:rsidP="002555C5">
      <w:r>
        <w:t>Chair, University Core Curriculum Committee 2016–2017</w:t>
      </w:r>
    </w:p>
    <w:sectPr w:rsidR="002555C5" w:rsidRPr="006121A3" w:rsidSect="0074353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74258" w14:textId="77777777" w:rsidR="00FC5DA1" w:rsidRDefault="00FC5DA1" w:rsidP="0084634C">
      <w:r>
        <w:separator/>
      </w:r>
    </w:p>
  </w:endnote>
  <w:endnote w:type="continuationSeparator" w:id="0">
    <w:p w14:paraId="7E178008" w14:textId="77777777" w:rsidR="00FC5DA1" w:rsidRDefault="00FC5DA1" w:rsidP="0084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U'B8Ôˇø»Øœ">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8EBCD" w14:textId="77777777" w:rsidR="001470B6" w:rsidRDefault="001470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0325A" w14:textId="77777777" w:rsidR="001470B6" w:rsidRDefault="001470B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7BE21" w14:textId="77777777" w:rsidR="001470B6" w:rsidRDefault="001470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E7A1E" w14:textId="77777777" w:rsidR="00FC5DA1" w:rsidRDefault="00FC5DA1" w:rsidP="0084634C">
      <w:r>
        <w:separator/>
      </w:r>
    </w:p>
  </w:footnote>
  <w:footnote w:type="continuationSeparator" w:id="0">
    <w:p w14:paraId="7B814ADB" w14:textId="77777777" w:rsidR="00FC5DA1" w:rsidRDefault="00FC5DA1" w:rsidP="008463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5118F" w14:textId="5AF73CAA" w:rsidR="001470B6" w:rsidRDefault="001470B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CD467" w14:textId="6712E565" w:rsidR="001470B6" w:rsidRDefault="001470B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EB30C" w14:textId="59DF31F4" w:rsidR="001470B6" w:rsidRDefault="001470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3C591A"/>
    <w:multiLevelType w:val="hybridMultilevel"/>
    <w:tmpl w:val="1F426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B92A08"/>
    <w:multiLevelType w:val="hybridMultilevel"/>
    <w:tmpl w:val="6B727C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5045C27"/>
    <w:multiLevelType w:val="multilevel"/>
    <w:tmpl w:val="23EA1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10091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59420AF3"/>
    <w:multiLevelType w:val="hybridMultilevel"/>
    <w:tmpl w:val="04D0F82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lvlOverride w:ilvl="0">
      <w:startOverride w:val="1"/>
    </w:lvlOverride>
  </w:num>
  <w:num w:numId="3">
    <w:abstractNumId w:val="2"/>
    <w:lvlOverride w:ilvl="0">
      <w:startOverride w:val="2"/>
    </w:lvlOverride>
  </w:num>
  <w:num w:numId="4">
    <w:abstractNumId w:val="2"/>
    <w:lvlOverride w:ilvl="0">
      <w:startOverride w:val="3"/>
    </w:lvlOverride>
  </w:num>
  <w:num w:numId="5">
    <w:abstractNumId w:val="2"/>
    <w:lvlOverride w:ilvl="0">
      <w:startOverride w:val="4"/>
    </w:lvlOverride>
  </w:num>
  <w:num w:numId="6">
    <w:abstractNumId w:val="2"/>
    <w:lvlOverride w:ilvl="0">
      <w:startOverride w:val="5"/>
    </w:lvlOverride>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A3"/>
    <w:rsid w:val="000451C8"/>
    <w:rsid w:val="00055477"/>
    <w:rsid w:val="00084E08"/>
    <w:rsid w:val="00094575"/>
    <w:rsid w:val="00095781"/>
    <w:rsid w:val="000E11F3"/>
    <w:rsid w:val="000F0324"/>
    <w:rsid w:val="00126035"/>
    <w:rsid w:val="001470B6"/>
    <w:rsid w:val="001E6DFE"/>
    <w:rsid w:val="002555C5"/>
    <w:rsid w:val="002A27FA"/>
    <w:rsid w:val="00321C34"/>
    <w:rsid w:val="00355ED9"/>
    <w:rsid w:val="00360B55"/>
    <w:rsid w:val="003B2B2A"/>
    <w:rsid w:val="003C30DA"/>
    <w:rsid w:val="004079A7"/>
    <w:rsid w:val="00426B6A"/>
    <w:rsid w:val="0042784E"/>
    <w:rsid w:val="004757ED"/>
    <w:rsid w:val="004933FE"/>
    <w:rsid w:val="004B3AE3"/>
    <w:rsid w:val="00567FE8"/>
    <w:rsid w:val="005C6EE6"/>
    <w:rsid w:val="005D4D6B"/>
    <w:rsid w:val="005D6886"/>
    <w:rsid w:val="005F4CF0"/>
    <w:rsid w:val="006121A3"/>
    <w:rsid w:val="00617E7A"/>
    <w:rsid w:val="00743538"/>
    <w:rsid w:val="00745529"/>
    <w:rsid w:val="00775B57"/>
    <w:rsid w:val="00786C68"/>
    <w:rsid w:val="007C3F54"/>
    <w:rsid w:val="007D25B9"/>
    <w:rsid w:val="00826681"/>
    <w:rsid w:val="0084634C"/>
    <w:rsid w:val="008547C8"/>
    <w:rsid w:val="0086289A"/>
    <w:rsid w:val="009470B6"/>
    <w:rsid w:val="009976D5"/>
    <w:rsid w:val="009A473D"/>
    <w:rsid w:val="009C1118"/>
    <w:rsid w:val="00A0195E"/>
    <w:rsid w:val="00AA3695"/>
    <w:rsid w:val="00AF49FB"/>
    <w:rsid w:val="00B27DB2"/>
    <w:rsid w:val="00B428EC"/>
    <w:rsid w:val="00B42AEC"/>
    <w:rsid w:val="00C0093F"/>
    <w:rsid w:val="00C444DF"/>
    <w:rsid w:val="00DC0409"/>
    <w:rsid w:val="00DD50FC"/>
    <w:rsid w:val="00DE7153"/>
    <w:rsid w:val="00E60C58"/>
    <w:rsid w:val="00EA60D5"/>
    <w:rsid w:val="00EB4E1D"/>
    <w:rsid w:val="00EE7D29"/>
    <w:rsid w:val="00EF2856"/>
    <w:rsid w:val="00F54C3D"/>
    <w:rsid w:val="00F85D06"/>
    <w:rsid w:val="00F91546"/>
    <w:rsid w:val="00FC5DA1"/>
    <w:rsid w:val="00FD1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1DF24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21A3"/>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121A3"/>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21A3"/>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21A3"/>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21A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21A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21A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21A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21A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1A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121A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21A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21A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21A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21A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21A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21A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21A3"/>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4278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E11F3"/>
    <w:rPr>
      <w:color w:val="0000FF" w:themeColor="hyperlink"/>
      <w:u w:val="single"/>
    </w:rPr>
  </w:style>
  <w:style w:type="character" w:styleId="CommentReference">
    <w:name w:val="annotation reference"/>
    <w:basedOn w:val="DefaultParagraphFont"/>
    <w:uiPriority w:val="99"/>
    <w:semiHidden/>
    <w:unhideWhenUsed/>
    <w:rsid w:val="000E11F3"/>
    <w:rPr>
      <w:sz w:val="18"/>
      <w:szCs w:val="18"/>
    </w:rPr>
  </w:style>
  <w:style w:type="paragraph" w:styleId="CommentText">
    <w:name w:val="annotation text"/>
    <w:basedOn w:val="Normal"/>
    <w:link w:val="CommentTextChar"/>
    <w:uiPriority w:val="99"/>
    <w:semiHidden/>
    <w:unhideWhenUsed/>
    <w:rsid w:val="000E11F3"/>
  </w:style>
  <w:style w:type="character" w:customStyle="1" w:styleId="CommentTextChar">
    <w:name w:val="Comment Text Char"/>
    <w:basedOn w:val="DefaultParagraphFont"/>
    <w:link w:val="CommentText"/>
    <w:uiPriority w:val="99"/>
    <w:semiHidden/>
    <w:rsid w:val="000E11F3"/>
  </w:style>
  <w:style w:type="paragraph" w:styleId="CommentSubject">
    <w:name w:val="annotation subject"/>
    <w:basedOn w:val="CommentText"/>
    <w:next w:val="CommentText"/>
    <w:link w:val="CommentSubjectChar"/>
    <w:uiPriority w:val="99"/>
    <w:semiHidden/>
    <w:unhideWhenUsed/>
    <w:rsid w:val="000E11F3"/>
    <w:rPr>
      <w:b/>
      <w:bCs/>
      <w:sz w:val="20"/>
      <w:szCs w:val="20"/>
    </w:rPr>
  </w:style>
  <w:style w:type="character" w:customStyle="1" w:styleId="CommentSubjectChar">
    <w:name w:val="Comment Subject Char"/>
    <w:basedOn w:val="CommentTextChar"/>
    <w:link w:val="CommentSubject"/>
    <w:uiPriority w:val="99"/>
    <w:semiHidden/>
    <w:rsid w:val="000E11F3"/>
    <w:rPr>
      <w:b/>
      <w:bCs/>
      <w:sz w:val="20"/>
      <w:szCs w:val="20"/>
    </w:rPr>
  </w:style>
  <w:style w:type="paragraph" w:styleId="BalloonText">
    <w:name w:val="Balloon Text"/>
    <w:basedOn w:val="Normal"/>
    <w:link w:val="BalloonTextChar"/>
    <w:uiPriority w:val="99"/>
    <w:semiHidden/>
    <w:unhideWhenUsed/>
    <w:rsid w:val="000E11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11F3"/>
    <w:rPr>
      <w:rFonts w:ascii="Lucida Grande" w:hAnsi="Lucida Grande" w:cs="Lucida Grande"/>
      <w:sz w:val="18"/>
      <w:szCs w:val="18"/>
    </w:rPr>
  </w:style>
  <w:style w:type="paragraph" w:styleId="ListParagraph">
    <w:name w:val="List Paragraph"/>
    <w:basedOn w:val="Normal"/>
    <w:uiPriority w:val="34"/>
    <w:qFormat/>
    <w:rsid w:val="00084E08"/>
    <w:pPr>
      <w:ind w:left="720"/>
      <w:contextualSpacing/>
    </w:pPr>
  </w:style>
  <w:style w:type="paragraph" w:styleId="Header">
    <w:name w:val="header"/>
    <w:basedOn w:val="Normal"/>
    <w:link w:val="HeaderChar"/>
    <w:uiPriority w:val="99"/>
    <w:unhideWhenUsed/>
    <w:rsid w:val="0084634C"/>
    <w:pPr>
      <w:tabs>
        <w:tab w:val="center" w:pos="4320"/>
        <w:tab w:val="right" w:pos="8640"/>
      </w:tabs>
    </w:pPr>
  </w:style>
  <w:style w:type="character" w:customStyle="1" w:styleId="HeaderChar">
    <w:name w:val="Header Char"/>
    <w:basedOn w:val="DefaultParagraphFont"/>
    <w:link w:val="Header"/>
    <w:uiPriority w:val="99"/>
    <w:rsid w:val="0084634C"/>
  </w:style>
  <w:style w:type="paragraph" w:styleId="Footer">
    <w:name w:val="footer"/>
    <w:basedOn w:val="Normal"/>
    <w:link w:val="FooterChar"/>
    <w:uiPriority w:val="99"/>
    <w:unhideWhenUsed/>
    <w:rsid w:val="0084634C"/>
    <w:pPr>
      <w:tabs>
        <w:tab w:val="center" w:pos="4320"/>
        <w:tab w:val="right" w:pos="8640"/>
      </w:tabs>
    </w:pPr>
  </w:style>
  <w:style w:type="character" w:customStyle="1" w:styleId="FooterChar">
    <w:name w:val="Footer Char"/>
    <w:basedOn w:val="DefaultParagraphFont"/>
    <w:link w:val="Footer"/>
    <w:uiPriority w:val="99"/>
    <w:rsid w:val="0084634C"/>
  </w:style>
  <w:style w:type="paragraph" w:styleId="Revision">
    <w:name w:val="Revision"/>
    <w:hidden/>
    <w:uiPriority w:val="99"/>
    <w:semiHidden/>
    <w:rsid w:val="009470B6"/>
  </w:style>
  <w:style w:type="character" w:customStyle="1" w:styleId="apple-converted-space">
    <w:name w:val="apple-converted-space"/>
    <w:basedOn w:val="DefaultParagraphFont"/>
    <w:rsid w:val="00C00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9602">
      <w:bodyDiv w:val="1"/>
      <w:marLeft w:val="0"/>
      <w:marRight w:val="0"/>
      <w:marTop w:val="0"/>
      <w:marBottom w:val="0"/>
      <w:divBdr>
        <w:top w:val="none" w:sz="0" w:space="0" w:color="auto"/>
        <w:left w:val="none" w:sz="0" w:space="0" w:color="auto"/>
        <w:bottom w:val="none" w:sz="0" w:space="0" w:color="auto"/>
        <w:right w:val="none" w:sz="0" w:space="0" w:color="auto"/>
      </w:divBdr>
    </w:div>
    <w:div w:id="191966896">
      <w:bodyDiv w:val="1"/>
      <w:marLeft w:val="0"/>
      <w:marRight w:val="0"/>
      <w:marTop w:val="0"/>
      <w:marBottom w:val="0"/>
      <w:divBdr>
        <w:top w:val="none" w:sz="0" w:space="0" w:color="auto"/>
        <w:left w:val="none" w:sz="0" w:space="0" w:color="auto"/>
        <w:bottom w:val="none" w:sz="0" w:space="0" w:color="auto"/>
        <w:right w:val="none" w:sz="0" w:space="0" w:color="auto"/>
      </w:divBdr>
    </w:div>
    <w:div w:id="969363054">
      <w:bodyDiv w:val="1"/>
      <w:marLeft w:val="0"/>
      <w:marRight w:val="0"/>
      <w:marTop w:val="0"/>
      <w:marBottom w:val="0"/>
      <w:divBdr>
        <w:top w:val="none" w:sz="0" w:space="0" w:color="auto"/>
        <w:left w:val="none" w:sz="0" w:space="0" w:color="auto"/>
        <w:bottom w:val="none" w:sz="0" w:space="0" w:color="auto"/>
        <w:right w:val="none" w:sz="0" w:space="0" w:color="auto"/>
      </w:divBdr>
    </w:div>
    <w:div w:id="1389911652">
      <w:bodyDiv w:val="1"/>
      <w:marLeft w:val="0"/>
      <w:marRight w:val="0"/>
      <w:marTop w:val="0"/>
      <w:marBottom w:val="0"/>
      <w:divBdr>
        <w:top w:val="none" w:sz="0" w:space="0" w:color="auto"/>
        <w:left w:val="none" w:sz="0" w:space="0" w:color="auto"/>
        <w:bottom w:val="none" w:sz="0" w:space="0" w:color="auto"/>
        <w:right w:val="none" w:sz="0" w:space="0" w:color="auto"/>
      </w:divBdr>
    </w:div>
    <w:div w:id="17969464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7"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1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225E46CC0D24C96D2FA244D7E2F4E" ma:contentTypeVersion="16" ma:contentTypeDescription="Create a new document." ma:contentTypeScope="" ma:versionID="bf0587632e58da982873aedd95fc2b5d">
  <xsd:schema xmlns:xsd="http://www.w3.org/2001/XMLSchema" xmlns:xs="http://www.w3.org/2001/XMLSchema" xmlns:p="http://schemas.microsoft.com/office/2006/metadata/properties" xmlns:ns2="f5bdfd30-e79a-4c76-9b09-7a37d6f0b737" xmlns:ns3="ceaaf2ba-eac9-492a-94ac-9275445e9b46" targetNamespace="http://schemas.microsoft.com/office/2006/metadata/properties" ma:root="true" ma:fieldsID="c864e1252b394ddca7e6f442666848b8" ns2:_="" ns3:_="">
    <xsd:import namespace="f5bdfd30-e79a-4c76-9b09-7a37d6f0b737"/>
    <xsd:import namespace="ceaaf2ba-eac9-492a-94ac-9275445e9b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dfd30-e79a-4c76-9b09-7a37d6f0b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f2ba-eac9-492a-94ac-9275445e9b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9c3a643-1818-4f27-ba48-751a81da6c91}" ma:internalName="TaxCatchAll" ma:showField="CatchAllData" ma:web="ceaaf2ba-eac9-492a-94ac-9275445e9b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bdfd30-e79a-4c76-9b09-7a37d6f0b737">
      <Terms xmlns="http://schemas.microsoft.com/office/infopath/2007/PartnerControls"/>
    </lcf76f155ced4ddcb4097134ff3c332f>
    <TaxCatchAll xmlns="ceaaf2ba-eac9-492a-94ac-9275445e9b46" xsi:nil="true"/>
  </documentManagement>
</p:properties>
</file>

<file path=customXml/itemProps1.xml><?xml version="1.0" encoding="utf-8"?>
<ds:datastoreItem xmlns:ds="http://schemas.openxmlformats.org/officeDocument/2006/customXml" ds:itemID="{51B9F047-E44C-4D40-8382-A3E87CCCE1F1}"/>
</file>

<file path=customXml/itemProps2.xml><?xml version="1.0" encoding="utf-8"?>
<ds:datastoreItem xmlns:ds="http://schemas.openxmlformats.org/officeDocument/2006/customXml" ds:itemID="{A986BBC1-E61F-4258-85A8-830DBAD4FFE2}"/>
</file>

<file path=customXml/itemProps3.xml><?xml version="1.0" encoding="utf-8"?>
<ds:datastoreItem xmlns:ds="http://schemas.openxmlformats.org/officeDocument/2006/customXml" ds:itemID="{3C03C8C1-E761-4B6A-AFC7-25EA64FCA2FC}"/>
</file>

<file path=docProps/app.xml><?xml version="1.0" encoding="utf-8"?>
<Properties xmlns="http://schemas.openxmlformats.org/officeDocument/2006/extended-properties" xmlns:vt="http://schemas.openxmlformats.org/officeDocument/2006/docPropsVTypes">
  <Template>Normal.dotm</Template>
  <TotalTime>0</TotalTime>
  <Pages>10</Pages>
  <Words>2985</Words>
  <Characters>17021</Characters>
  <Application>Microsoft Macintosh Word</Application>
  <DocSecurity>0</DocSecurity>
  <Lines>141</Lines>
  <Paragraphs>39</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Charge to the UCCC</vt:lpstr>
      <vt:lpstr>Representation</vt:lpstr>
      <vt:lpstr>The Composition of the Core Curriculum: Recertifications, Nominations, and Stude</vt:lpstr>
      <vt:lpstr>    Recertification for Goals 2.1, 2.2, and 3H </vt:lpstr>
      <vt:lpstr>    Student Petitions</vt:lpstr>
      <vt:lpstr>    Course Nominations</vt:lpstr>
      <vt:lpstr>The Composition of the Core Curriculum: Transfer Agreements, Experiences, Etc.</vt:lpstr>
      <vt:lpstr>    Transfer Issues</vt:lpstr>
      <vt:lpstr>    Educational Experiences</vt:lpstr>
      <vt:lpstr>2017 Haufler KU Core Innovation Award</vt:lpstr>
      <vt:lpstr>State of the Core</vt:lpstr>
      <vt:lpstr>    Data Collection and Analysis</vt:lpstr>
      <vt:lpstr>    Procedural Changes </vt:lpstr>
      <vt:lpstr>    Response to 2017 University Core Curriculum Survey</vt:lpstr>
      <vt:lpstr>        “Process tedious and inefficient.”</vt:lpstr>
      <vt:lpstr>        “Course approval perceived as arbitrary and political.”</vt:lpstr>
      <vt:lpstr>        “Lack of communication of feedback from UCCC.”</vt:lpstr>
      <vt:lpstr>        “Not enough science or technology courses.”</vt:lpstr>
      <vt:lpstr>        “Transfer courses do not go through same process.”</vt:lpstr>
      <vt:lpstr>Recommendations for the 2017–2018 Committee</vt:lpstr>
      <vt:lpstr>    Continue to refine the recertification process</vt:lpstr>
      <vt:lpstr>    Consider the role of student representatives</vt:lpstr>
      <vt:lpstr>    Revise the course nomination forms in CIM and the recertification forms </vt:lpstr>
      <vt:lpstr>    Review the student petition process and forms</vt:lpstr>
      <vt:lpstr>    Address governance and communication concerns</vt:lpstr>
      <vt:lpstr>    </vt:lpstr>
    </vt:vector>
  </TitlesOfParts>
  <Company/>
  <LinksUpToDate>false</LinksUpToDate>
  <CharactersWithSpaces>19967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Roust</dc:creator>
  <cp:keywords/>
  <dc:description/>
  <cp:lastModifiedBy>Holly Scheirman</cp:lastModifiedBy>
  <cp:revision>2</cp:revision>
  <cp:lastPrinted>2017-08-15T13:55:00Z</cp:lastPrinted>
  <dcterms:created xsi:type="dcterms:W3CDTF">2017-08-31T16:10:00Z</dcterms:created>
  <dcterms:modified xsi:type="dcterms:W3CDTF">2017-08-31T16:10:00Z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0x010100B93225E46CC0D24C96D2FA244D7E2F4E</vt:lpwstr>
  </property>
</Properties>
</file>